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96"/>
          <w:szCs w:val="160"/>
          <w:lang w:eastAsia="zh-CN"/>
        </w:rPr>
      </w:pPr>
    </w:p>
    <w:p>
      <w:pPr>
        <w:jc w:val="center"/>
        <w:rPr>
          <w:rFonts w:hint="eastAsia" w:asciiTheme="minorEastAsia" w:hAnsiTheme="minorEastAsia" w:eastAsiaTheme="minorEastAsia" w:cstheme="minorEastAsia"/>
          <w:sz w:val="96"/>
          <w:szCs w:val="160"/>
          <w:lang w:eastAsia="zh-CN"/>
        </w:rPr>
      </w:pPr>
    </w:p>
    <w:p>
      <w:pPr>
        <w:jc w:val="center"/>
        <w:rPr>
          <w:rFonts w:hint="eastAsia" w:asciiTheme="minorEastAsia" w:hAnsiTheme="minorEastAsia" w:eastAsiaTheme="minorEastAsia" w:cstheme="minorEastAsia"/>
          <w:sz w:val="96"/>
          <w:szCs w:val="160"/>
          <w:lang w:eastAsia="zh-CN"/>
        </w:rPr>
      </w:pPr>
    </w:p>
    <w:p>
      <w:pPr>
        <w:jc w:val="center"/>
        <w:rPr>
          <w:rFonts w:hint="eastAsia"/>
          <w:sz w:val="96"/>
          <w:szCs w:val="160"/>
          <w:lang w:val="en-US" w:eastAsia="zh-CN"/>
        </w:rPr>
      </w:pPr>
      <w:r>
        <w:rPr>
          <w:rFonts w:hint="eastAsia" w:asciiTheme="minorEastAsia" w:hAnsiTheme="minorEastAsia" w:eastAsiaTheme="minorEastAsia" w:cstheme="minorEastAsia"/>
          <w:sz w:val="96"/>
          <w:szCs w:val="160"/>
          <w:lang w:eastAsia="zh-CN"/>
        </w:rPr>
        <w:t>企业环境报告书</w:t>
      </w:r>
    </w:p>
    <w:p>
      <w:pPr>
        <w:jc w:val="center"/>
        <w:rPr>
          <w:rFonts w:hint="default"/>
          <w:sz w:val="96"/>
          <w:szCs w:val="160"/>
          <w:lang w:val="en-US" w:eastAsia="zh-CN"/>
        </w:rPr>
      </w:pPr>
      <w:r>
        <w:rPr>
          <w:rFonts w:hint="eastAsia"/>
          <w:sz w:val="48"/>
          <w:szCs w:val="56"/>
          <w:lang w:val="en-US" w:eastAsia="zh-CN"/>
        </w:rPr>
        <w:t>2021年度</w:t>
      </w:r>
    </w:p>
    <w:p>
      <w:pPr>
        <w:rPr>
          <w:rFonts w:hint="eastAsia"/>
          <w:sz w:val="32"/>
          <w:szCs w:val="40"/>
          <w:lang w:val="en-US" w:eastAsia="zh-CN"/>
        </w:rPr>
      </w:pPr>
    </w:p>
    <w:p>
      <w:pPr>
        <w:rPr>
          <w:rFonts w:hint="eastAsia"/>
          <w:sz w:val="32"/>
          <w:szCs w:val="40"/>
          <w:lang w:val="en-US" w:eastAsia="zh-CN"/>
        </w:rPr>
      </w:pPr>
    </w:p>
    <w:p>
      <w:pPr>
        <w:rPr>
          <w:rFonts w:hint="eastAsia"/>
          <w:sz w:val="32"/>
          <w:szCs w:val="40"/>
          <w:lang w:val="en-US" w:eastAsia="zh-CN"/>
        </w:rPr>
      </w:pPr>
    </w:p>
    <w:p>
      <w:pPr>
        <w:rPr>
          <w:rFonts w:hint="eastAsia"/>
          <w:sz w:val="32"/>
          <w:szCs w:val="40"/>
          <w:lang w:val="en-US" w:eastAsia="zh-CN"/>
        </w:rPr>
      </w:pPr>
    </w:p>
    <w:p>
      <w:pPr>
        <w:rPr>
          <w:rFonts w:hint="eastAsia"/>
          <w:sz w:val="32"/>
          <w:szCs w:val="40"/>
          <w:lang w:val="en-US" w:eastAsia="zh-CN"/>
        </w:rPr>
      </w:pPr>
    </w:p>
    <w:p>
      <w:pPr>
        <w:rPr>
          <w:rFonts w:hint="eastAsia"/>
          <w:sz w:val="32"/>
          <w:szCs w:val="40"/>
          <w:lang w:val="en-US" w:eastAsia="zh-CN"/>
        </w:rPr>
      </w:pPr>
    </w:p>
    <w:p>
      <w:pPr>
        <w:rPr>
          <w:rFonts w:hint="eastAsia"/>
          <w:sz w:val="32"/>
          <w:szCs w:val="40"/>
          <w:lang w:val="en-US" w:eastAsia="zh-CN"/>
        </w:rPr>
      </w:pPr>
    </w:p>
    <w:p>
      <w:pPr>
        <w:rPr>
          <w:rFonts w:hint="eastAsia"/>
          <w:sz w:val="32"/>
          <w:szCs w:val="40"/>
          <w:lang w:val="en-US" w:eastAsia="zh-CN"/>
        </w:rPr>
      </w:pPr>
    </w:p>
    <w:p>
      <w:pPr>
        <w:rPr>
          <w:rFonts w:hint="eastAsia"/>
          <w:sz w:val="32"/>
          <w:szCs w:val="40"/>
          <w:lang w:val="en-US" w:eastAsia="zh-CN"/>
        </w:rPr>
      </w:pPr>
    </w:p>
    <w:p>
      <w:pPr>
        <w:rPr>
          <w:rFonts w:hint="eastAsia"/>
          <w:sz w:val="32"/>
          <w:szCs w:val="40"/>
          <w:lang w:val="en-US" w:eastAsia="zh-CN"/>
        </w:rPr>
      </w:pPr>
    </w:p>
    <w:p>
      <w:pPr>
        <w:rPr>
          <w:rFonts w:hint="eastAsia"/>
          <w:sz w:val="32"/>
          <w:szCs w:val="40"/>
          <w:lang w:val="en-US" w:eastAsia="zh-CN"/>
        </w:rPr>
      </w:pPr>
    </w:p>
    <w:p>
      <w:pPr>
        <w:jc w:val="center"/>
        <w:rPr>
          <w:rFonts w:hint="eastAsia"/>
          <w:sz w:val="32"/>
          <w:szCs w:val="40"/>
          <w:lang w:val="en-US" w:eastAsia="zh-CN"/>
        </w:rPr>
      </w:pPr>
    </w:p>
    <w:p>
      <w:pPr>
        <w:jc w:val="center"/>
        <w:rPr>
          <w:rFonts w:hint="eastAsia"/>
          <w:lang w:val="en-US" w:eastAsia="zh-CN"/>
        </w:rPr>
      </w:pPr>
      <w:r>
        <w:rPr>
          <w:rFonts w:hint="eastAsia"/>
          <w:sz w:val="32"/>
          <w:szCs w:val="40"/>
          <w:lang w:val="en-US" w:eastAsia="zh-CN"/>
        </w:rPr>
        <w:t>安徽富煌三珍食品集团有限公司</w:t>
      </w:r>
    </w:p>
    <w:p>
      <w:pPr>
        <w:rPr>
          <w:rFonts w:hint="eastAsia"/>
          <w:lang w:val="en-US" w:eastAsia="zh-CN"/>
        </w:rPr>
      </w:pPr>
    </w:p>
    <w:p>
      <w:pPr>
        <w:numPr>
          <w:ilvl w:val="0"/>
          <w:numId w:val="1"/>
        </w:numPr>
        <w:rPr>
          <w:rFonts w:hint="eastAsia"/>
          <w:b/>
          <w:bCs/>
          <w:sz w:val="28"/>
          <w:szCs w:val="36"/>
          <w:lang w:val="en-US" w:eastAsia="zh-CN"/>
        </w:rPr>
      </w:pPr>
      <w:r>
        <w:rPr>
          <w:rFonts w:hint="eastAsia"/>
          <w:b/>
          <w:bCs/>
          <w:sz w:val="28"/>
          <w:szCs w:val="36"/>
          <w:lang w:val="en-US" w:eastAsia="zh-CN"/>
        </w:rPr>
        <w:t xml:space="preserve">高层致辞 </w:t>
      </w:r>
    </w:p>
    <w:p>
      <w:pPr>
        <w:ind w:firstLine="548" w:firstLineChars="196"/>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环境保护是我国的基本国策。随着社会经济的快速发展，面对全球气候变暖、大气及水体与海洋污染、自然资源及生态环境污染影响等，环境问题已成为制约人类生存和发展的重大问题。企业作为社会发展的主动力，环境资源的主要消耗者与环境污染源的主要产生者，应义不容辞的担当起推进生态文明建设，发展绿色经济的历史责任。保护环境,实现生产、生活和生态的良性循环,是每个企业应尽的社会责任。为此，公司致力于通过各种方式减少生产过程对资源的消耗、对环境的污染, 始终坚持“安全第一、达标排放、防消结合、综合治理”的发展模式，积极履行作为绿色发展的理念。着力进行节能减排技术创新、夯实环保管理基础。</w:t>
      </w:r>
    </w:p>
    <w:p>
      <w:pPr>
        <w:ind w:firstLine="548" w:firstLineChars="196"/>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我公司坚持用科学发展观统领企业运营，一方面不断推进工艺改造，从源头上实现节能减排；另一方面不断强化企业环境管理体系的健全和完善，促进企业环境管理的科学化、制度化建设。我们进一步完善了公司多项环境管理制度，通过组织各种形式的宣传和培训活动，不断强化全体员工环保意识，将企业“做好环境保护事关企业的生死存亡”的重要理念融入到公司每位员工的思想和行动之中。</w:t>
      </w:r>
    </w:p>
    <w:p>
      <w:pPr>
        <w:ind w:firstLine="548" w:firstLineChars="196"/>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依据国家环保部《企业环境报告书编制导则》（HJ617-2011）的相关要求，我公司组织编制了《安徽富煌三珍食品集团2018年度环境报告书》，我们希望通过2020年度本公司的环境报告，将公司的环境信息系统透明、真实地传达给公众，以实现企业与社会及利益相关者之间的环境信息交流，进一步履行社会责任和义务，并诚恳接受社会、公众和各级环境管理部门的监督指导。</w:t>
      </w:r>
    </w:p>
    <w:p>
      <w:pPr>
        <w:numPr>
          <w:ilvl w:val="0"/>
          <w:numId w:val="0"/>
        </w:numPr>
        <w:rPr>
          <w:rFonts w:hint="default"/>
          <w:lang w:val="en-US" w:eastAsia="zh-CN"/>
        </w:rPr>
      </w:pPr>
    </w:p>
    <w:p>
      <w:pPr>
        <w:numPr>
          <w:ilvl w:val="0"/>
          <w:numId w:val="0"/>
        </w:numPr>
        <w:rPr>
          <w:rFonts w:hint="default"/>
          <w:lang w:val="en-US" w:eastAsia="zh-CN"/>
        </w:rPr>
      </w:pPr>
      <w:r>
        <w:rPr>
          <w:rFonts w:hint="eastAsia"/>
          <w:b/>
          <w:bCs/>
          <w:sz w:val="28"/>
          <w:szCs w:val="36"/>
          <w:lang w:val="en-US" w:eastAsia="zh-CN"/>
        </w:rPr>
        <w:t>二、公司概况及编制说明</w:t>
      </w:r>
    </w:p>
    <w:p>
      <w:pPr>
        <w:numPr>
          <w:ilvl w:val="0"/>
          <w:numId w:val="0"/>
        </w:numPr>
        <w:ind w:firstLine="562" w:firstLineChars="200"/>
        <w:rPr>
          <w:rFonts w:hint="eastAsia"/>
          <w:b/>
          <w:bCs/>
          <w:sz w:val="28"/>
          <w:szCs w:val="36"/>
          <w:lang w:val="en-US" w:eastAsia="zh-CN"/>
        </w:rPr>
      </w:pPr>
      <w:r>
        <w:rPr>
          <w:rFonts w:hint="eastAsia"/>
          <w:b/>
          <w:bCs/>
          <w:sz w:val="28"/>
          <w:szCs w:val="36"/>
          <w:lang w:val="en-US" w:eastAsia="zh-CN"/>
        </w:rPr>
        <w:t>公司概况</w:t>
      </w:r>
    </w:p>
    <w:p>
      <w:pPr>
        <w:ind w:firstLine="548" w:firstLineChars="196"/>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安徽富煌三珍食品集团成立于2002年，注册资本9430万元，位于巢湖半岛富煌工业园，拥有农业产业化国家重点龙头企业、高新技术企业等18项“国”字号资质。业务涵盖水产苗种繁育、水产健康养殖、水产精深加工、生鲜连锁超市四大板块。公司是“合肥农业20强”、“安徽省制造业百强”和“中国农业500强”企业，是安徽省“五个一批”重点50家加工企业之一，是“第一批长三角绿色农产品加工供应基地”。2021年被农业部认定为“农业国际贸易高质量发展基地”、被安徽省消费者权益保护委员会授予“安徽省放心消费示范企业”等荣誉。</w:t>
      </w:r>
    </w:p>
    <w:p>
      <w:pPr>
        <w:ind w:firstLine="548" w:firstLineChars="196"/>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公司拥有176亩食品加工区，年加工鮰鱼1万吨、小龙虾5000吨、酱料5000吨，以此为产业核心，带动前端建立1440亩国家级鮰鱼良种场和分布于安徽、江苏、江西、广东约10万亩订单养殖基地，带动后端自建了23家生鲜超市，为探鱼、半天妖、蒸小皖、食为先等50多家知名连锁餐馆共3000多家门店提供水产食材定制。公司拥有独立出口经营权，产品出口到美国、俄罗斯、韩国、欧盟、巴西、中非等多个国家和地区。年进出口贸易额1000余万美元。</w:t>
      </w:r>
    </w:p>
    <w:p>
      <w:pPr>
        <w:ind w:firstLine="548" w:firstLineChars="196"/>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公司注重科技研发与产学研合作，始终坚持以“科技创新”推动企业发展，在水产品加工、水产养殖等领域拥有自主知识产权，使企业的科技实力始终保持在行业的领先地位。先后与上海海洋大学、合肥工业大学、华中农业大学、安徽农业大学、浙江大学、江南大学、安徽农科院水产所等多家高校院所开展长期研发合作。公司目前申报专利108项，其中拥有发明专利34项，省级科技成果12项，省级新产品4项，承担国家级星火计划1项、省级科技攻关1项、省重点研发1项、合肥关键技术研发1项，牵头制订团体标准4项，并荣获“巢湖首届职工科技创新特等奖”、“巢湖市第二届职工科技创新二等奖”、“合肥市第五届职工科技创新二等奖”。</w:t>
      </w:r>
    </w:p>
    <w:p>
      <w:pPr>
        <w:ind w:firstLine="548" w:firstLineChars="196"/>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下一步，公司将紧密围绕产业升级、市场转型、技术创新和品牌建设四大抓手，全面强化产业链建设，为农业供给侧结构性改革、脱贫攻坚和乡村振兴做出更大的贡献。</w:t>
      </w:r>
    </w:p>
    <w:p>
      <w:pPr>
        <w:widowControl w:val="0"/>
        <w:numPr>
          <w:ilvl w:val="0"/>
          <w:numId w:val="0"/>
        </w:numPr>
        <w:jc w:val="both"/>
        <w:rPr>
          <w:rFonts w:hint="eastAsia"/>
          <w:bCs/>
          <w:szCs w:val="24"/>
        </w:rPr>
      </w:pPr>
    </w:p>
    <w:p>
      <w:pPr>
        <w:widowControl w:val="0"/>
        <w:numPr>
          <w:ilvl w:val="0"/>
          <w:numId w:val="0"/>
        </w:numPr>
        <w:ind w:firstLine="420" w:firstLineChars="200"/>
        <w:jc w:val="both"/>
        <w:rPr>
          <w:rFonts w:hint="eastAsia"/>
          <w:bCs/>
          <w:szCs w:val="24"/>
        </w:rPr>
      </w:pPr>
    </w:p>
    <w:p>
      <w:pPr>
        <w:widowControl w:val="0"/>
        <w:numPr>
          <w:ilvl w:val="0"/>
          <w:numId w:val="0"/>
        </w:numPr>
        <w:ind w:firstLine="420" w:firstLineChars="200"/>
        <w:jc w:val="both"/>
        <w:rPr>
          <w:rFonts w:hint="eastAsia"/>
          <w:bCs/>
          <w:szCs w:val="24"/>
        </w:rPr>
      </w:pPr>
    </w:p>
    <w:p>
      <w:pPr>
        <w:widowControl w:val="0"/>
        <w:numPr>
          <w:ilvl w:val="0"/>
          <w:numId w:val="0"/>
        </w:numPr>
        <w:ind w:firstLine="420" w:firstLineChars="200"/>
        <w:jc w:val="both"/>
        <w:rPr>
          <w:rFonts w:hint="eastAsia"/>
          <w:bCs/>
          <w:szCs w:val="24"/>
        </w:rPr>
      </w:pPr>
    </w:p>
    <w:p>
      <w:pPr>
        <w:numPr>
          <w:ilvl w:val="0"/>
          <w:numId w:val="0"/>
        </w:numPr>
        <w:ind w:firstLine="562" w:firstLineChars="200"/>
        <w:rPr>
          <w:rFonts w:hint="eastAsia"/>
          <w:b/>
          <w:bCs/>
          <w:sz w:val="28"/>
          <w:szCs w:val="36"/>
          <w:lang w:val="en-US" w:eastAsia="zh-CN"/>
        </w:rPr>
      </w:pPr>
      <w:r>
        <w:rPr>
          <w:rFonts w:hint="eastAsia"/>
          <w:b/>
          <w:bCs/>
          <w:sz w:val="28"/>
          <w:szCs w:val="36"/>
          <w:lang w:val="en-US" w:eastAsia="zh-CN"/>
        </w:rPr>
        <w:t>公司内部组织架构图</w:t>
      </w:r>
    </w:p>
    <w:p>
      <w:pPr>
        <w:widowControl w:val="0"/>
        <w:numPr>
          <w:ilvl w:val="0"/>
          <w:numId w:val="0"/>
        </w:numPr>
        <w:ind w:firstLine="422" w:firstLineChars="200"/>
        <w:jc w:val="both"/>
        <w:rPr>
          <w:rFonts w:hint="default"/>
          <w:b/>
          <w:bCs w:val="0"/>
          <w:szCs w:val="24"/>
          <w:lang w:val="en-US" w:eastAsia="zh-CN"/>
        </w:rPr>
      </w:pPr>
      <w:r>
        <w:rPr>
          <w:rFonts w:hint="default"/>
          <w:b/>
          <w:bCs w:val="0"/>
          <w:szCs w:val="24"/>
          <w:lang w:val="en-US" w:eastAsia="zh-CN"/>
        </w:rPr>
        <w:drawing>
          <wp:inline distT="0" distB="0" distL="114300" distR="114300">
            <wp:extent cx="5271770" cy="3204210"/>
            <wp:effectExtent l="0" t="0" r="5080" b="15240"/>
            <wp:docPr id="1" name="图片 1" descr="三珍本部组织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三珍本部组织架构图"/>
                    <pic:cNvPicPr>
                      <a:picLocks noChangeAspect="1"/>
                    </pic:cNvPicPr>
                  </pic:nvPicPr>
                  <pic:blipFill>
                    <a:blip r:embed="rId4"/>
                    <a:stretch>
                      <a:fillRect/>
                    </a:stretch>
                  </pic:blipFill>
                  <pic:spPr>
                    <a:xfrm>
                      <a:off x="0" y="0"/>
                      <a:ext cx="5271770" cy="3204210"/>
                    </a:xfrm>
                    <a:prstGeom prst="rect">
                      <a:avLst/>
                    </a:prstGeom>
                  </pic:spPr>
                </pic:pic>
              </a:graphicData>
            </a:graphic>
          </wp:inline>
        </w:drawing>
      </w:r>
    </w:p>
    <w:p>
      <w:pPr>
        <w:widowControl w:val="0"/>
        <w:numPr>
          <w:ilvl w:val="0"/>
          <w:numId w:val="0"/>
        </w:numPr>
        <w:ind w:firstLine="422" w:firstLineChars="200"/>
        <w:jc w:val="both"/>
        <w:rPr>
          <w:rFonts w:hint="default"/>
          <w:b/>
          <w:bCs w:val="0"/>
          <w:szCs w:val="24"/>
          <w:lang w:val="en-US" w:eastAsia="zh-CN"/>
        </w:rPr>
      </w:pPr>
    </w:p>
    <w:p>
      <w:pPr>
        <w:numPr>
          <w:ilvl w:val="0"/>
          <w:numId w:val="0"/>
        </w:numPr>
        <w:ind w:firstLine="562" w:firstLineChars="200"/>
        <w:rPr>
          <w:rFonts w:hint="default"/>
          <w:b/>
          <w:bCs/>
          <w:sz w:val="28"/>
          <w:szCs w:val="36"/>
          <w:lang w:val="en-US" w:eastAsia="zh-CN"/>
        </w:rPr>
      </w:pPr>
      <w:r>
        <w:rPr>
          <w:rFonts w:hint="eastAsia"/>
          <w:b/>
          <w:bCs/>
          <w:sz w:val="28"/>
          <w:szCs w:val="36"/>
          <w:lang w:val="en-US" w:eastAsia="zh-CN"/>
        </w:rPr>
        <w:t>报告编制说明</w:t>
      </w:r>
    </w:p>
    <w:p>
      <w:pPr>
        <w:ind w:firstLine="548" w:firstLineChars="196"/>
        <w:rPr>
          <w:rFonts w:hint="default" w:ascii="Helvetica" w:hAnsi="Helvetica" w:eastAsia="宋体" w:cs="宋体"/>
          <w:color w:val="000000"/>
          <w:kern w:val="0"/>
          <w:sz w:val="28"/>
          <w:szCs w:val="28"/>
          <w:lang w:val="en-US" w:eastAsia="zh-CN"/>
        </w:rPr>
      </w:pPr>
      <w:r>
        <w:rPr>
          <w:rFonts w:hint="default" w:ascii="Helvetica" w:hAnsi="Helvetica" w:eastAsia="宋体" w:cs="宋体"/>
          <w:color w:val="000000"/>
          <w:kern w:val="0"/>
          <w:sz w:val="28"/>
          <w:szCs w:val="28"/>
          <w:lang w:val="en-US" w:eastAsia="zh-CN"/>
        </w:rPr>
        <w:t>年度环境报告是公司按照新《环境保护法》 “信息公开与公众参与 ”及《企业环境报告书编制导则》的要求，结合地方有关法律法规，在年度环境报告中持续公开环境保护信息 ，接受社会监督。</w:t>
      </w:r>
    </w:p>
    <w:p>
      <w:pPr>
        <w:ind w:firstLine="548" w:firstLineChars="196"/>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发布方式：本报告在安徽富煌三珍食品集团有限公司网站发布</w:t>
      </w:r>
    </w:p>
    <w:p>
      <w:pPr>
        <w:ind w:firstLine="548" w:firstLineChars="196"/>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编辑部门：安徽富煌三珍食品集团有限公司安环部</w:t>
      </w:r>
    </w:p>
    <w:p>
      <w:pPr>
        <w:ind w:firstLine="548" w:firstLineChars="196"/>
        <w:rPr>
          <w:rFonts w:hint="default"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联系电话：0551-88560199</w:t>
      </w:r>
    </w:p>
    <w:p>
      <w:pPr>
        <w:widowControl w:val="0"/>
        <w:numPr>
          <w:ilvl w:val="0"/>
          <w:numId w:val="0"/>
        </w:numPr>
        <w:ind w:firstLine="422" w:firstLineChars="200"/>
        <w:jc w:val="both"/>
        <w:rPr>
          <w:rFonts w:hint="default"/>
          <w:b/>
          <w:bCs w:val="0"/>
          <w:szCs w:val="24"/>
          <w:lang w:val="en-US" w:eastAsia="zh-CN"/>
        </w:rPr>
      </w:pPr>
    </w:p>
    <w:p>
      <w:pPr>
        <w:numPr>
          <w:ilvl w:val="0"/>
          <w:numId w:val="0"/>
        </w:numPr>
        <w:rPr>
          <w:rFonts w:hint="default"/>
          <w:b/>
          <w:bCs/>
          <w:sz w:val="28"/>
          <w:szCs w:val="36"/>
          <w:lang w:val="en-US" w:eastAsia="zh-CN"/>
        </w:rPr>
      </w:pPr>
      <w:r>
        <w:rPr>
          <w:rFonts w:hint="eastAsia"/>
          <w:b/>
          <w:bCs/>
          <w:sz w:val="28"/>
          <w:szCs w:val="36"/>
          <w:lang w:val="en-US" w:eastAsia="zh-CN"/>
        </w:rPr>
        <w:t>三、环保管理情况</w:t>
      </w:r>
    </w:p>
    <w:p>
      <w:pPr>
        <w:ind w:firstLine="548" w:firstLineChars="196"/>
        <w:rPr>
          <w:rFonts w:ascii="Helvetica" w:hAnsi="Helvetica" w:eastAsia="宋体" w:cs="宋体"/>
          <w:color w:val="000000"/>
          <w:kern w:val="0"/>
          <w:sz w:val="28"/>
          <w:szCs w:val="28"/>
        </w:rPr>
      </w:pPr>
      <w:r>
        <w:rPr>
          <w:rFonts w:hint="eastAsia" w:ascii="Helvetica" w:hAnsi="Helvetica" w:eastAsia="宋体" w:cs="宋体"/>
          <w:color w:val="000000"/>
          <w:kern w:val="0"/>
          <w:sz w:val="28"/>
          <w:szCs w:val="28"/>
        </w:rPr>
        <w:t>本企业环保工作的责任主体为品管部，监管部门为安环部</w:t>
      </w:r>
      <w:r>
        <w:rPr>
          <w:rFonts w:ascii="Helvetica" w:hAnsi="Helvetica" w:eastAsia="宋体" w:cs="宋体"/>
          <w:color w:val="000000"/>
          <w:kern w:val="0"/>
          <w:sz w:val="28"/>
          <w:szCs w:val="28"/>
        </w:rPr>
        <w:t>,改善企业环境状况,减少企业对周围环境的污染,并协调企业与政府环保部门的工作。</w:t>
      </w:r>
    </w:p>
    <w:p>
      <w:pPr>
        <w:ind w:firstLine="548" w:firstLineChars="196"/>
        <w:rPr>
          <w:rFonts w:hint="eastAsia" w:ascii="Helvetica" w:hAnsi="Helvetica" w:eastAsia="宋体" w:cs="宋体"/>
          <w:color w:val="000000"/>
          <w:kern w:val="0"/>
          <w:sz w:val="28"/>
          <w:szCs w:val="28"/>
        </w:rPr>
      </w:pPr>
      <w:r>
        <w:rPr>
          <w:rFonts w:ascii="Helvetica" w:hAnsi="Helvetica" w:eastAsia="宋体" w:cs="宋体"/>
          <w:color w:val="000000"/>
          <w:kern w:val="0"/>
          <w:sz w:val="28"/>
          <w:szCs w:val="28"/>
        </w:rPr>
        <w:t>组织建立企业环境保护管理团队,由企业领导和</w:t>
      </w:r>
      <w:r>
        <w:rPr>
          <w:rFonts w:hint="eastAsia" w:ascii="Helvetica" w:hAnsi="Helvetica" w:eastAsia="宋体" w:cs="宋体"/>
          <w:color w:val="000000"/>
          <w:kern w:val="0"/>
          <w:sz w:val="28"/>
          <w:szCs w:val="28"/>
        </w:rPr>
        <w:t>安环部</w:t>
      </w:r>
      <w:r>
        <w:rPr>
          <w:rFonts w:ascii="Helvetica" w:hAnsi="Helvetica" w:eastAsia="宋体" w:cs="宋体"/>
          <w:color w:val="000000"/>
          <w:kern w:val="0"/>
          <w:sz w:val="28"/>
          <w:szCs w:val="28"/>
        </w:rPr>
        <w:t>组成,共同搞好本企业的环境保护工作</w:t>
      </w:r>
      <w:r>
        <w:rPr>
          <w:rFonts w:hint="eastAsia" w:ascii="Helvetica" w:hAnsi="Helvetica" w:eastAsia="宋体" w:cs="宋体"/>
          <w:color w:val="000000"/>
          <w:kern w:val="0"/>
          <w:sz w:val="28"/>
          <w:szCs w:val="28"/>
        </w:rPr>
        <w:t>。</w:t>
      </w:r>
    </w:p>
    <w:p>
      <w:pPr>
        <w:ind w:firstLine="548" w:firstLineChars="196"/>
        <w:rPr>
          <w:rFonts w:ascii="Helvetica" w:hAnsi="Helvetica" w:eastAsia="宋体" w:cs="宋体"/>
          <w:color w:val="000000"/>
          <w:kern w:val="0"/>
          <w:sz w:val="28"/>
          <w:szCs w:val="28"/>
        </w:rPr>
      </w:pPr>
      <w:r>
        <w:rPr>
          <w:rFonts w:ascii="Helvetica" w:hAnsi="Helvetica" w:eastAsia="宋体" w:cs="宋体"/>
          <w:color w:val="000000"/>
          <w:kern w:val="0"/>
          <w:sz w:val="28"/>
          <w:szCs w:val="28"/>
        </w:rPr>
        <w:t>企业环境保护机构配备</w:t>
      </w:r>
      <w:r>
        <w:rPr>
          <w:rFonts w:hint="eastAsia" w:ascii="Helvetica" w:hAnsi="Helvetica" w:eastAsia="宋体" w:cs="宋体"/>
          <w:color w:val="000000"/>
          <w:kern w:val="0"/>
          <w:sz w:val="28"/>
          <w:szCs w:val="28"/>
        </w:rPr>
        <w:t>环保</w:t>
      </w:r>
      <w:r>
        <w:rPr>
          <w:rFonts w:ascii="Helvetica" w:hAnsi="Helvetica" w:eastAsia="宋体" w:cs="宋体"/>
          <w:color w:val="000000"/>
          <w:kern w:val="0"/>
          <w:sz w:val="28"/>
          <w:szCs w:val="28"/>
        </w:rPr>
        <w:t>人员,并制定若</w:t>
      </w:r>
      <w:r>
        <w:rPr>
          <w:rFonts w:hint="eastAsia" w:ascii="Helvetica" w:hAnsi="Helvetica" w:eastAsia="宋体" w:cs="宋体"/>
          <w:color w:val="000000"/>
          <w:kern w:val="0"/>
          <w:sz w:val="28"/>
          <w:szCs w:val="28"/>
        </w:rPr>
        <w:t>干</w:t>
      </w:r>
      <w:r>
        <w:rPr>
          <w:rFonts w:ascii="Helvetica" w:hAnsi="Helvetica" w:eastAsia="宋体" w:cs="宋体"/>
          <w:color w:val="000000"/>
          <w:kern w:val="0"/>
          <w:sz w:val="28"/>
          <w:szCs w:val="28"/>
        </w:rPr>
        <w:t>名</w:t>
      </w:r>
      <w:r>
        <w:rPr>
          <w:rFonts w:hint="eastAsia" w:ascii="Helvetica" w:hAnsi="Helvetica" w:eastAsia="宋体" w:cs="宋体"/>
          <w:color w:val="000000"/>
          <w:kern w:val="0"/>
          <w:sz w:val="28"/>
          <w:szCs w:val="28"/>
        </w:rPr>
        <w:t>兼</w:t>
      </w:r>
      <w:r>
        <w:rPr>
          <w:rFonts w:ascii="Helvetica" w:hAnsi="Helvetica" w:eastAsia="宋体" w:cs="宋体"/>
          <w:color w:val="000000"/>
          <w:kern w:val="0"/>
          <w:sz w:val="28"/>
          <w:szCs w:val="28"/>
        </w:rPr>
        <w:t>职环保员,协助领导工作。环保机构只能加强,不能削弱。</w:t>
      </w:r>
    </w:p>
    <w:p>
      <w:pPr>
        <w:numPr>
          <w:ilvl w:val="0"/>
          <w:numId w:val="2"/>
        </w:numPr>
        <w:rPr>
          <w:rFonts w:hint="eastAsia"/>
          <w:b/>
          <w:bCs/>
          <w:sz w:val="28"/>
          <w:szCs w:val="36"/>
          <w:lang w:val="en-US" w:eastAsia="zh-CN"/>
        </w:rPr>
      </w:pPr>
      <w:r>
        <w:rPr>
          <w:rFonts w:hint="eastAsia"/>
          <w:b/>
          <w:bCs/>
          <w:sz w:val="28"/>
          <w:szCs w:val="36"/>
          <w:lang w:val="en-US" w:eastAsia="zh-CN"/>
        </w:rPr>
        <w:t>环保目标</w:t>
      </w:r>
    </w:p>
    <w:p>
      <w:pPr>
        <w:ind w:firstLine="548" w:firstLineChars="196"/>
        <w:rPr>
          <w:rFonts w:ascii="Helvetica" w:hAnsi="Helvetica" w:eastAsia="宋体" w:cs="宋体"/>
          <w:color w:val="000000"/>
          <w:kern w:val="0"/>
          <w:sz w:val="28"/>
          <w:szCs w:val="28"/>
        </w:rPr>
      </w:pPr>
      <w:r>
        <w:rPr>
          <w:rFonts w:ascii="Helvetica" w:hAnsi="Helvetica" w:eastAsia="宋体" w:cs="宋体"/>
          <w:color w:val="000000"/>
          <w:kern w:val="0"/>
          <w:sz w:val="28"/>
          <w:szCs w:val="28"/>
        </w:rPr>
        <w:t>保护环境人人有责。企业员工、领导都要认真、自觉学习遵守环境保护法律法规及有关规定,正确看待和处理生产与保护环境之间的关系,坚持预防为主、防治结合的方针,提倡车间清洁生产、循环利用从源头上尽量消灭污染物,并认真执行“谁污染、谁治理”的原则。</w:t>
      </w:r>
    </w:p>
    <w:p>
      <w:pPr>
        <w:numPr>
          <w:ilvl w:val="0"/>
          <w:numId w:val="0"/>
        </w:numPr>
        <w:rPr>
          <w:rFonts w:hint="default"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（1）污染物达标排放情况，重点污染物监测</w:t>
      </w:r>
    </w:p>
    <w:p>
      <w:pPr>
        <w:spacing w:line="560" w:lineRule="exact"/>
        <w:ind w:firstLine="560" w:firstLineChars="200"/>
        <w:rPr>
          <w:rFonts w:hint="eastAsia" w:ascii="宋体" w:hAnsi="宋体" w:cs="仿宋"/>
          <w:color w:val="0000FF"/>
          <w:sz w:val="28"/>
          <w:szCs w:val="28"/>
        </w:rPr>
      </w:pPr>
      <w:r>
        <w:rPr>
          <w:rFonts w:hint="eastAsia" w:ascii="宋体" w:hAnsi="宋体" w:cs="仿宋"/>
          <w:color w:val="000000"/>
          <w:sz w:val="28"/>
          <w:szCs w:val="28"/>
        </w:rPr>
        <w:t>1、按照“雨污分流,分类收集处理”的原则,设计建设全厂排水系统,雨水排入园区雨水管网,生产废水、生活污水经污水管网收集后排入厂区污水处厂处理达标后</w:t>
      </w:r>
      <w:r>
        <w:rPr>
          <w:rFonts w:hint="eastAsia" w:ascii="宋体" w:hAnsi="宋体" w:cs="仿宋"/>
          <w:color w:val="000000"/>
          <w:sz w:val="28"/>
          <w:szCs w:val="28"/>
          <w:lang w:eastAsia="zh-CN"/>
        </w:rPr>
        <w:t>由一个排污口（编号：</w:t>
      </w:r>
      <w:r>
        <w:rPr>
          <w:rFonts w:hint="eastAsia" w:ascii="宋体" w:hAnsi="宋体"/>
          <w:sz w:val="24"/>
          <w:szCs w:val="28"/>
        </w:rPr>
        <w:t>WS-00014</w:t>
      </w:r>
      <w:r>
        <w:rPr>
          <w:rFonts w:hint="eastAsia" w:ascii="宋体" w:hAnsi="宋体" w:cs="仿宋"/>
          <w:color w:val="000000"/>
          <w:sz w:val="28"/>
          <w:szCs w:val="28"/>
          <w:lang w:eastAsia="zh-CN"/>
        </w:rPr>
        <w:t>）</w:t>
      </w:r>
      <w:r>
        <w:rPr>
          <w:rFonts w:hint="eastAsia" w:ascii="宋体" w:hAnsi="宋体" w:cs="仿宋"/>
          <w:color w:val="000000"/>
          <w:sz w:val="28"/>
          <w:szCs w:val="28"/>
        </w:rPr>
        <w:t>排入黄麓镇污水处理厂,污水排放执行《污水综合排放标准》(GB8978-1996)中一级标准,安装在线监测。</w:t>
      </w:r>
    </w:p>
    <w:p>
      <w:pPr>
        <w:spacing w:line="560" w:lineRule="exact"/>
        <w:ind w:firstLine="560" w:firstLineChars="200"/>
        <w:rPr>
          <w:rFonts w:hint="eastAsia" w:ascii="宋体" w:hAnsi="宋体" w:cs="仿宋"/>
          <w:color w:val="0000FF"/>
          <w:sz w:val="28"/>
          <w:szCs w:val="28"/>
        </w:rPr>
      </w:pPr>
      <w:r>
        <w:rPr>
          <w:rFonts w:hint="eastAsia" w:ascii="宋体" w:hAnsi="宋体" w:cs="仿宋"/>
          <w:color w:val="000000"/>
          <w:sz w:val="28"/>
          <w:szCs w:val="28"/>
        </w:rPr>
        <w:t>2、本公司使用天然气锅炉，废气排放符合《锅炉大气污染物排放标准》(GB13271-2001)中二类区Ⅱ时段标准。</w:t>
      </w:r>
    </w:p>
    <w:p>
      <w:pPr>
        <w:spacing w:line="560" w:lineRule="exact"/>
        <w:ind w:firstLine="560" w:firstLineChars="200"/>
        <w:rPr>
          <w:rFonts w:hint="eastAsia" w:ascii="宋体" w:hAnsi="宋体" w:cs="仿宋"/>
          <w:color w:val="0000FF"/>
          <w:sz w:val="28"/>
          <w:szCs w:val="28"/>
        </w:rPr>
      </w:pPr>
      <w:r>
        <w:rPr>
          <w:rFonts w:hint="eastAsia" w:ascii="宋体" w:hAnsi="宋体" w:cs="仿宋"/>
          <w:color w:val="000000"/>
          <w:sz w:val="28"/>
          <w:szCs w:val="28"/>
        </w:rPr>
        <w:t>3、选用低噪声设备,优化设计,合理布局高噪声生产设备,采取有效的减振、隔声等降噪措施,确保厂界噪声满足《工厂企业厂界噪声排放标准》(GB12348-2008)2类标准。</w:t>
      </w:r>
    </w:p>
    <w:p>
      <w:pPr>
        <w:spacing w:line="560" w:lineRule="exact"/>
        <w:ind w:firstLine="560" w:firstLineChars="200"/>
        <w:rPr>
          <w:rFonts w:hint="eastAsia" w:ascii="宋体" w:hAnsi="宋体" w:cs="仿宋"/>
          <w:color w:val="000000"/>
          <w:sz w:val="28"/>
          <w:szCs w:val="28"/>
        </w:rPr>
      </w:pPr>
      <w:r>
        <w:rPr>
          <w:rFonts w:hint="eastAsia" w:ascii="宋体" w:hAnsi="宋体" w:cs="仿宋"/>
          <w:color w:val="000000"/>
          <w:sz w:val="28"/>
          <w:szCs w:val="28"/>
        </w:rPr>
        <w:t>4、雨水排入园区雨水管道网，生产生活废水收集后排入厂区污水处理站，处理达标后由一个排放口排放至黄麓镇污水处理厂。</w:t>
      </w:r>
    </w:p>
    <w:p>
      <w:pPr>
        <w:spacing w:line="560" w:lineRule="exact"/>
        <w:ind w:firstLine="560" w:firstLineChars="200"/>
        <w:rPr>
          <w:rFonts w:hint="eastAsia" w:ascii="宋体" w:hAnsi="宋体" w:cs="仿宋"/>
          <w:color w:val="000000"/>
          <w:sz w:val="28"/>
          <w:szCs w:val="28"/>
        </w:rPr>
      </w:pPr>
      <w:r>
        <w:rPr>
          <w:rFonts w:hint="eastAsia" w:ascii="宋体" w:hAnsi="宋体" w:cs="仿宋"/>
          <w:color w:val="000000"/>
          <w:sz w:val="28"/>
          <w:szCs w:val="28"/>
        </w:rPr>
        <w:t>为履行企业自行监测的职责采取的污染物（废水）自行监测手段及开展方式：与安徽省碧水电子技术有限公司签订合同，由其负责</w:t>
      </w:r>
      <w:r>
        <w:rPr>
          <w:rFonts w:hint="eastAsia" w:ascii="宋体" w:hAnsi="宋体" w:cs="仿宋"/>
          <w:color w:val="000000"/>
          <w:sz w:val="28"/>
          <w:szCs w:val="28"/>
          <w:lang w:eastAsia="zh-CN"/>
        </w:rPr>
        <w:t>氨氮在线自动监测设备、</w:t>
      </w:r>
      <w:r>
        <w:rPr>
          <w:rFonts w:hint="eastAsia" w:ascii="宋体" w:hAnsi="宋体" w:cs="仿宋"/>
          <w:color w:val="000000"/>
          <w:sz w:val="28"/>
          <w:szCs w:val="28"/>
        </w:rPr>
        <w:t>（COD）</w:t>
      </w:r>
      <w:r>
        <w:rPr>
          <w:rFonts w:hint="eastAsia" w:ascii="宋体" w:hAnsi="宋体" w:cs="仿宋"/>
          <w:color w:val="000000"/>
          <w:sz w:val="28"/>
          <w:szCs w:val="28"/>
          <w:lang w:eastAsia="zh-CN"/>
        </w:rPr>
        <w:t>在线</w:t>
      </w:r>
      <w:r>
        <w:rPr>
          <w:rFonts w:hint="eastAsia" w:ascii="宋体" w:hAnsi="宋体" w:cs="仿宋"/>
          <w:color w:val="000000"/>
          <w:sz w:val="28"/>
          <w:szCs w:val="28"/>
        </w:rPr>
        <w:t>自动检测设备、PH计分析仪的维护和运营情况。自动检测设备已与环保主管部门联网并且已验收。</w:t>
      </w:r>
    </w:p>
    <w:p>
      <w:pPr>
        <w:spacing w:line="560" w:lineRule="exact"/>
        <w:ind w:firstLine="560" w:firstLineChars="200"/>
        <w:rPr>
          <w:rFonts w:hint="eastAsia" w:ascii="宋体" w:hAnsi="宋体" w:cs="仿宋"/>
          <w:color w:val="000000"/>
          <w:sz w:val="28"/>
          <w:szCs w:val="28"/>
        </w:rPr>
      </w:pPr>
      <w:r>
        <w:rPr>
          <w:rFonts w:hint="eastAsia" w:ascii="宋体" w:hAnsi="宋体" w:cs="仿宋"/>
          <w:color w:val="000000"/>
          <w:sz w:val="28"/>
          <w:szCs w:val="28"/>
        </w:rPr>
        <w:t>手动检测方面</w:t>
      </w:r>
      <w:r>
        <w:rPr>
          <w:rFonts w:hint="eastAsia" w:ascii="宋体" w:hAnsi="宋体" w:cs="仿宋"/>
          <w:color w:val="000000"/>
          <w:sz w:val="28"/>
          <w:szCs w:val="28"/>
          <w:lang w:eastAsia="zh-CN"/>
        </w:rPr>
        <w:t>委托安徽国科检测科技有限公司</w:t>
      </w:r>
      <w:r>
        <w:rPr>
          <w:rFonts w:hint="eastAsia" w:ascii="宋体" w:hAnsi="宋体" w:cs="仿宋"/>
          <w:color w:val="000000"/>
          <w:sz w:val="28"/>
          <w:szCs w:val="28"/>
        </w:rPr>
        <w:t>，检测的项目</w:t>
      </w:r>
      <w:r>
        <w:rPr>
          <w:rFonts w:hint="eastAsia" w:ascii="宋体" w:hAnsi="宋体" w:cs="仿宋"/>
          <w:color w:val="000000"/>
          <w:sz w:val="28"/>
          <w:szCs w:val="28"/>
          <w:lang w:eastAsia="zh-CN"/>
        </w:rPr>
        <w:t>见下表</w:t>
      </w:r>
      <w:r>
        <w:rPr>
          <w:rFonts w:hint="eastAsia" w:ascii="宋体" w:hAnsi="宋体" w:cs="仿宋"/>
          <w:color w:val="000000"/>
          <w:sz w:val="28"/>
          <w:szCs w:val="28"/>
        </w:rPr>
        <w:t>。</w:t>
      </w:r>
    </w:p>
    <w:tbl>
      <w:tblPr>
        <w:tblW w:w="8346" w:type="dxa"/>
        <w:tblInd w:w="0" w:type="dxa"/>
        <w:shd w:val="clear"/>
        <w:tblLayout w:type="fixed"/>
        <w:tblCellMar>
          <w:top w:w="0" w:type="dxa"/>
          <w:left w:w="0" w:type="dxa"/>
          <w:bottom w:w="0" w:type="dxa"/>
          <w:right w:w="0" w:type="dxa"/>
        </w:tblCellMar>
      </w:tblPr>
      <w:tblGrid>
        <w:gridCol w:w="1401"/>
        <w:gridCol w:w="2130"/>
        <w:gridCol w:w="1155"/>
        <w:gridCol w:w="1650"/>
        <w:gridCol w:w="2010"/>
      </w:tblGrid>
      <w:tr>
        <w:tblPrEx>
          <w:shd w:val="clear"/>
          <w:tblCellMar>
            <w:top w:w="0" w:type="dxa"/>
            <w:left w:w="0" w:type="dxa"/>
            <w:bottom w:w="0" w:type="dxa"/>
            <w:right w:w="0" w:type="dxa"/>
          </w:tblCellMar>
        </w:tblPrEx>
        <w:trPr>
          <w:trHeight w:val="420" w:hRule="atLeast"/>
        </w:trPr>
        <w:tc>
          <w:tcPr>
            <w:tcW w:w="1401" w:type="dxa"/>
            <w:tcBorders>
              <w:top w:val="single" w:color="auto" w:sz="4" w:space="0"/>
              <w:left w:val="single" w:color="auto"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监测点位</w:t>
            </w:r>
          </w:p>
        </w:tc>
        <w:tc>
          <w:tcPr>
            <w:tcW w:w="2130" w:type="dxa"/>
            <w:tcBorders>
              <w:top w:val="single" w:color="auto"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污染物</w:t>
            </w:r>
          </w:p>
        </w:tc>
        <w:tc>
          <w:tcPr>
            <w:tcW w:w="1155" w:type="dxa"/>
            <w:tcBorders>
              <w:top w:val="single" w:color="auto"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限值</w:t>
            </w:r>
          </w:p>
        </w:tc>
        <w:tc>
          <w:tcPr>
            <w:tcW w:w="1650" w:type="dxa"/>
            <w:tcBorders>
              <w:top w:val="single" w:color="auto"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检测频次</w:t>
            </w:r>
          </w:p>
        </w:tc>
        <w:tc>
          <w:tcPr>
            <w:tcW w:w="2010" w:type="dxa"/>
            <w:tcBorders>
              <w:top w:val="single" w:color="auto"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检测合格次数</w:t>
            </w:r>
          </w:p>
        </w:tc>
      </w:tr>
      <w:tr>
        <w:tblPrEx>
          <w:tblCellMar>
            <w:top w:w="0" w:type="dxa"/>
            <w:left w:w="0" w:type="dxa"/>
            <w:bottom w:w="0" w:type="dxa"/>
            <w:right w:w="0" w:type="dxa"/>
          </w:tblCellMar>
        </w:tblPrEx>
        <w:trPr>
          <w:trHeight w:val="90" w:hRule="atLeast"/>
        </w:trPr>
        <w:tc>
          <w:tcPr>
            <w:tcW w:w="1401" w:type="dxa"/>
            <w:vMerge w:val="restart"/>
            <w:tcBorders>
              <w:top w:val="single" w:color="000000" w:sz="4" w:space="0"/>
              <w:left w:val="single" w:color="auto"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锅炉排气</w:t>
            </w:r>
          </w:p>
        </w:tc>
        <w:tc>
          <w:tcPr>
            <w:tcW w:w="21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氮氧化物</w:t>
            </w:r>
          </w:p>
        </w:tc>
        <w:tc>
          <w:tcPr>
            <w:tcW w:w="11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150</w:t>
            </w:r>
          </w:p>
        </w:tc>
        <w:tc>
          <w:tcPr>
            <w:tcW w:w="165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次/月</w:t>
            </w:r>
          </w:p>
        </w:tc>
        <w:tc>
          <w:tcPr>
            <w:tcW w:w="201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bdr w:val="none" w:color="auto" w:sz="0" w:space="0"/>
                <w:lang w:val="en-US" w:eastAsia="zh-CN" w:bidi="ar"/>
              </w:rPr>
            </w:pPr>
            <w:r>
              <w:rPr>
                <w:rFonts w:hint="eastAsia" w:ascii="宋体" w:hAnsi="宋体" w:eastAsia="宋体" w:cs="宋体"/>
                <w:b/>
                <w:i w:val="0"/>
                <w:color w:val="000000"/>
                <w:kern w:val="0"/>
                <w:sz w:val="22"/>
                <w:szCs w:val="22"/>
                <w:u w:val="none"/>
                <w:bdr w:val="none" w:color="auto" w:sz="0" w:space="0"/>
                <w:lang w:val="en-US" w:eastAsia="zh-CN" w:bidi="ar"/>
              </w:rPr>
              <w:t>12</w:t>
            </w:r>
          </w:p>
        </w:tc>
      </w:tr>
      <w:tr>
        <w:tblPrEx>
          <w:tblCellMar>
            <w:top w:w="0" w:type="dxa"/>
            <w:left w:w="0" w:type="dxa"/>
            <w:bottom w:w="0" w:type="dxa"/>
            <w:right w:w="0" w:type="dxa"/>
          </w:tblCellMar>
        </w:tblPrEx>
        <w:trPr>
          <w:trHeight w:val="90" w:hRule="atLeast"/>
        </w:trPr>
        <w:tc>
          <w:tcPr>
            <w:tcW w:w="1401" w:type="dxa"/>
            <w:vMerge w:val="continue"/>
            <w:tcBorders>
              <w:top w:val="single" w:color="000000" w:sz="4" w:space="0"/>
              <w:left w:val="single" w:color="auto"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二氧化硫</w:t>
            </w:r>
          </w:p>
        </w:tc>
        <w:tc>
          <w:tcPr>
            <w:tcW w:w="11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50</w:t>
            </w:r>
          </w:p>
        </w:tc>
        <w:tc>
          <w:tcPr>
            <w:tcW w:w="165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次/</w:t>
            </w:r>
            <w:r>
              <w:rPr>
                <w:rFonts w:hint="eastAsia" w:ascii="宋体" w:hAnsi="宋体" w:eastAsia="宋体" w:cs="宋体"/>
                <w:b/>
                <w:i w:val="0"/>
                <w:color w:val="000000"/>
                <w:kern w:val="0"/>
                <w:sz w:val="22"/>
                <w:szCs w:val="22"/>
                <w:u w:val="none"/>
                <w:bdr w:val="none" w:color="auto" w:sz="0" w:space="0"/>
                <w:lang w:val="en-US" w:eastAsia="zh-CN" w:bidi="ar"/>
              </w:rPr>
              <w:t>年</w:t>
            </w:r>
          </w:p>
        </w:tc>
        <w:tc>
          <w:tcPr>
            <w:tcW w:w="201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90" w:hRule="atLeast"/>
        </w:trPr>
        <w:tc>
          <w:tcPr>
            <w:tcW w:w="1401" w:type="dxa"/>
            <w:vMerge w:val="continue"/>
            <w:tcBorders>
              <w:top w:val="single" w:color="000000" w:sz="4" w:space="0"/>
              <w:left w:val="single" w:color="auto"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颗粒物</w:t>
            </w:r>
          </w:p>
        </w:tc>
        <w:tc>
          <w:tcPr>
            <w:tcW w:w="11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20</w:t>
            </w:r>
          </w:p>
        </w:tc>
        <w:tc>
          <w:tcPr>
            <w:tcW w:w="165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次/</w:t>
            </w:r>
            <w:r>
              <w:rPr>
                <w:rFonts w:hint="eastAsia" w:ascii="宋体" w:hAnsi="宋体" w:eastAsia="宋体" w:cs="宋体"/>
                <w:b/>
                <w:i w:val="0"/>
                <w:color w:val="000000"/>
                <w:kern w:val="0"/>
                <w:sz w:val="22"/>
                <w:szCs w:val="22"/>
                <w:u w:val="none"/>
                <w:bdr w:val="none" w:color="auto" w:sz="0" w:space="0"/>
                <w:lang w:val="en-US" w:eastAsia="zh-CN" w:bidi="ar"/>
              </w:rPr>
              <w:t>年</w:t>
            </w:r>
          </w:p>
        </w:tc>
        <w:tc>
          <w:tcPr>
            <w:tcW w:w="201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90" w:hRule="atLeast"/>
        </w:trPr>
        <w:tc>
          <w:tcPr>
            <w:tcW w:w="1401" w:type="dxa"/>
            <w:vMerge w:val="continue"/>
            <w:tcBorders>
              <w:top w:val="single" w:color="000000" w:sz="4" w:space="0"/>
              <w:left w:val="single" w:color="auto"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烟气黑度</w:t>
            </w:r>
          </w:p>
        </w:tc>
        <w:tc>
          <w:tcPr>
            <w:tcW w:w="11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w:t>
            </w:r>
          </w:p>
        </w:tc>
        <w:tc>
          <w:tcPr>
            <w:tcW w:w="165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次/</w:t>
            </w:r>
            <w:r>
              <w:rPr>
                <w:rFonts w:hint="eastAsia" w:ascii="宋体" w:hAnsi="宋体" w:eastAsia="宋体" w:cs="宋体"/>
                <w:b/>
                <w:i w:val="0"/>
                <w:color w:val="000000"/>
                <w:kern w:val="0"/>
                <w:sz w:val="22"/>
                <w:szCs w:val="22"/>
                <w:u w:val="none"/>
                <w:bdr w:val="none" w:color="auto" w:sz="0" w:space="0"/>
                <w:lang w:val="en-US" w:eastAsia="zh-CN" w:bidi="ar"/>
              </w:rPr>
              <w:t>年</w:t>
            </w:r>
          </w:p>
        </w:tc>
        <w:tc>
          <w:tcPr>
            <w:tcW w:w="201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90" w:hRule="atLeast"/>
        </w:trPr>
        <w:tc>
          <w:tcPr>
            <w:tcW w:w="1401" w:type="dxa"/>
            <w:tcBorders>
              <w:top w:val="single" w:color="000000" w:sz="4" w:space="0"/>
              <w:left w:val="single" w:color="auto"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酱品排气</w:t>
            </w:r>
          </w:p>
        </w:tc>
        <w:tc>
          <w:tcPr>
            <w:tcW w:w="21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油烟</w:t>
            </w:r>
          </w:p>
        </w:tc>
        <w:tc>
          <w:tcPr>
            <w:tcW w:w="11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2</w:t>
            </w:r>
          </w:p>
        </w:tc>
        <w:tc>
          <w:tcPr>
            <w:tcW w:w="165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次/</w:t>
            </w:r>
            <w:r>
              <w:rPr>
                <w:rFonts w:hint="eastAsia" w:ascii="宋体" w:hAnsi="宋体" w:eastAsia="宋体" w:cs="宋体"/>
                <w:b/>
                <w:i w:val="0"/>
                <w:color w:val="000000"/>
                <w:kern w:val="0"/>
                <w:sz w:val="22"/>
                <w:szCs w:val="22"/>
                <w:u w:val="none"/>
                <w:bdr w:val="none" w:color="auto" w:sz="0" w:space="0"/>
                <w:lang w:val="en-US" w:eastAsia="zh-CN" w:bidi="ar"/>
              </w:rPr>
              <w:t>年</w:t>
            </w:r>
          </w:p>
        </w:tc>
        <w:tc>
          <w:tcPr>
            <w:tcW w:w="201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90" w:hRule="atLeast"/>
        </w:trPr>
        <w:tc>
          <w:tcPr>
            <w:tcW w:w="1401" w:type="dxa"/>
            <w:vMerge w:val="restart"/>
            <w:tcBorders>
              <w:top w:val="single" w:color="000000" w:sz="4" w:space="0"/>
              <w:left w:val="single" w:color="auto"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厂界废气</w:t>
            </w:r>
          </w:p>
        </w:tc>
        <w:tc>
          <w:tcPr>
            <w:tcW w:w="21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颗粒物</w:t>
            </w:r>
          </w:p>
        </w:tc>
        <w:tc>
          <w:tcPr>
            <w:tcW w:w="11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w:t>
            </w:r>
          </w:p>
        </w:tc>
        <w:tc>
          <w:tcPr>
            <w:tcW w:w="165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次/</w:t>
            </w:r>
            <w:r>
              <w:rPr>
                <w:rFonts w:hint="eastAsia" w:ascii="宋体" w:hAnsi="宋体" w:eastAsia="宋体" w:cs="宋体"/>
                <w:b/>
                <w:i w:val="0"/>
                <w:color w:val="000000"/>
                <w:kern w:val="0"/>
                <w:sz w:val="22"/>
                <w:szCs w:val="22"/>
                <w:u w:val="none"/>
                <w:bdr w:val="none" w:color="auto" w:sz="0" w:space="0"/>
                <w:lang w:val="en-US" w:eastAsia="zh-CN" w:bidi="ar"/>
              </w:rPr>
              <w:t>年</w:t>
            </w:r>
          </w:p>
        </w:tc>
        <w:tc>
          <w:tcPr>
            <w:tcW w:w="201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90" w:hRule="atLeast"/>
        </w:trPr>
        <w:tc>
          <w:tcPr>
            <w:tcW w:w="1401" w:type="dxa"/>
            <w:vMerge w:val="continue"/>
            <w:tcBorders>
              <w:top w:val="single" w:color="000000" w:sz="4" w:space="0"/>
              <w:left w:val="single" w:color="auto"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硫化氢</w:t>
            </w:r>
          </w:p>
        </w:tc>
        <w:tc>
          <w:tcPr>
            <w:tcW w:w="11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0.06</w:t>
            </w:r>
          </w:p>
        </w:tc>
        <w:tc>
          <w:tcPr>
            <w:tcW w:w="165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次/</w:t>
            </w:r>
            <w:r>
              <w:rPr>
                <w:rFonts w:hint="eastAsia" w:ascii="宋体" w:hAnsi="宋体" w:eastAsia="宋体" w:cs="宋体"/>
                <w:b/>
                <w:i w:val="0"/>
                <w:color w:val="000000"/>
                <w:kern w:val="0"/>
                <w:sz w:val="22"/>
                <w:szCs w:val="22"/>
                <w:u w:val="none"/>
                <w:bdr w:val="none" w:color="auto" w:sz="0" w:space="0"/>
                <w:lang w:val="en-US" w:eastAsia="zh-CN" w:bidi="ar"/>
              </w:rPr>
              <w:t>半年</w:t>
            </w:r>
          </w:p>
        </w:tc>
        <w:tc>
          <w:tcPr>
            <w:tcW w:w="201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90" w:hRule="atLeast"/>
        </w:trPr>
        <w:tc>
          <w:tcPr>
            <w:tcW w:w="1401" w:type="dxa"/>
            <w:vMerge w:val="continue"/>
            <w:tcBorders>
              <w:top w:val="single" w:color="000000" w:sz="4" w:space="0"/>
              <w:left w:val="single" w:color="auto"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氨气</w:t>
            </w:r>
          </w:p>
        </w:tc>
        <w:tc>
          <w:tcPr>
            <w:tcW w:w="11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1.5</w:t>
            </w:r>
          </w:p>
        </w:tc>
        <w:tc>
          <w:tcPr>
            <w:tcW w:w="165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次/</w:t>
            </w:r>
            <w:r>
              <w:rPr>
                <w:rFonts w:hint="eastAsia" w:ascii="宋体" w:hAnsi="宋体" w:eastAsia="宋体" w:cs="宋体"/>
                <w:b/>
                <w:i w:val="0"/>
                <w:color w:val="000000"/>
                <w:kern w:val="0"/>
                <w:sz w:val="22"/>
                <w:szCs w:val="22"/>
                <w:u w:val="none"/>
                <w:bdr w:val="none" w:color="auto" w:sz="0" w:space="0"/>
                <w:lang w:val="en-US" w:eastAsia="zh-CN" w:bidi="ar"/>
              </w:rPr>
              <w:t>半年</w:t>
            </w:r>
          </w:p>
        </w:tc>
        <w:tc>
          <w:tcPr>
            <w:tcW w:w="201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90" w:hRule="atLeast"/>
        </w:trPr>
        <w:tc>
          <w:tcPr>
            <w:tcW w:w="1401" w:type="dxa"/>
            <w:vMerge w:val="continue"/>
            <w:tcBorders>
              <w:top w:val="single" w:color="000000" w:sz="4" w:space="0"/>
              <w:left w:val="single" w:color="auto"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臭气浓度</w:t>
            </w:r>
          </w:p>
        </w:tc>
        <w:tc>
          <w:tcPr>
            <w:tcW w:w="11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20</w:t>
            </w:r>
          </w:p>
        </w:tc>
        <w:tc>
          <w:tcPr>
            <w:tcW w:w="165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次/</w:t>
            </w:r>
            <w:r>
              <w:rPr>
                <w:rFonts w:hint="eastAsia" w:ascii="宋体" w:hAnsi="宋体" w:eastAsia="宋体" w:cs="宋体"/>
                <w:b/>
                <w:i w:val="0"/>
                <w:color w:val="000000"/>
                <w:kern w:val="0"/>
                <w:sz w:val="22"/>
                <w:szCs w:val="22"/>
                <w:u w:val="none"/>
                <w:bdr w:val="none" w:color="auto" w:sz="0" w:space="0"/>
                <w:lang w:val="en-US" w:eastAsia="zh-CN" w:bidi="ar"/>
              </w:rPr>
              <w:t>半年</w:t>
            </w:r>
          </w:p>
        </w:tc>
        <w:tc>
          <w:tcPr>
            <w:tcW w:w="201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90" w:hRule="atLeast"/>
        </w:trPr>
        <w:tc>
          <w:tcPr>
            <w:tcW w:w="1401" w:type="dxa"/>
            <w:vMerge w:val="restart"/>
            <w:tcBorders>
              <w:top w:val="single" w:color="000000" w:sz="4" w:space="0"/>
              <w:left w:val="single" w:color="auto"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污水站  废气</w:t>
            </w:r>
          </w:p>
        </w:tc>
        <w:tc>
          <w:tcPr>
            <w:tcW w:w="21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硫化氢</w:t>
            </w:r>
          </w:p>
        </w:tc>
        <w:tc>
          <w:tcPr>
            <w:tcW w:w="11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0.06</w:t>
            </w:r>
          </w:p>
        </w:tc>
        <w:tc>
          <w:tcPr>
            <w:tcW w:w="165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次/</w:t>
            </w:r>
            <w:r>
              <w:rPr>
                <w:rFonts w:hint="eastAsia" w:ascii="宋体" w:hAnsi="宋体" w:eastAsia="宋体" w:cs="宋体"/>
                <w:b/>
                <w:i w:val="0"/>
                <w:color w:val="000000"/>
                <w:kern w:val="0"/>
                <w:sz w:val="22"/>
                <w:szCs w:val="22"/>
                <w:u w:val="none"/>
                <w:bdr w:val="none" w:color="auto" w:sz="0" w:space="0"/>
                <w:lang w:val="en-US" w:eastAsia="zh-CN" w:bidi="ar"/>
              </w:rPr>
              <w:t>半年</w:t>
            </w:r>
          </w:p>
        </w:tc>
        <w:tc>
          <w:tcPr>
            <w:tcW w:w="201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90" w:hRule="atLeast"/>
        </w:trPr>
        <w:tc>
          <w:tcPr>
            <w:tcW w:w="1401" w:type="dxa"/>
            <w:vMerge w:val="continue"/>
            <w:tcBorders>
              <w:top w:val="single" w:color="000000" w:sz="4" w:space="0"/>
              <w:left w:val="single" w:color="auto"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氨气</w:t>
            </w:r>
          </w:p>
        </w:tc>
        <w:tc>
          <w:tcPr>
            <w:tcW w:w="11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1.5</w:t>
            </w:r>
          </w:p>
        </w:tc>
        <w:tc>
          <w:tcPr>
            <w:tcW w:w="165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次/</w:t>
            </w:r>
            <w:r>
              <w:rPr>
                <w:rFonts w:hint="eastAsia" w:ascii="宋体" w:hAnsi="宋体" w:eastAsia="宋体" w:cs="宋体"/>
                <w:b/>
                <w:i w:val="0"/>
                <w:color w:val="000000"/>
                <w:kern w:val="0"/>
                <w:sz w:val="22"/>
                <w:szCs w:val="22"/>
                <w:u w:val="none"/>
                <w:bdr w:val="none" w:color="auto" w:sz="0" w:space="0"/>
                <w:lang w:val="en-US" w:eastAsia="zh-CN" w:bidi="ar"/>
              </w:rPr>
              <w:t>半年</w:t>
            </w:r>
          </w:p>
        </w:tc>
        <w:tc>
          <w:tcPr>
            <w:tcW w:w="201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90" w:hRule="atLeast"/>
        </w:trPr>
        <w:tc>
          <w:tcPr>
            <w:tcW w:w="1401" w:type="dxa"/>
            <w:vMerge w:val="continue"/>
            <w:tcBorders>
              <w:top w:val="single" w:color="000000" w:sz="4" w:space="0"/>
              <w:left w:val="single" w:color="auto"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臭气浓度</w:t>
            </w:r>
          </w:p>
        </w:tc>
        <w:tc>
          <w:tcPr>
            <w:tcW w:w="11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20</w:t>
            </w:r>
          </w:p>
        </w:tc>
        <w:tc>
          <w:tcPr>
            <w:tcW w:w="165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次/</w:t>
            </w:r>
            <w:r>
              <w:rPr>
                <w:rFonts w:hint="eastAsia" w:ascii="宋体" w:hAnsi="宋体" w:eastAsia="宋体" w:cs="宋体"/>
                <w:b/>
                <w:i w:val="0"/>
                <w:color w:val="000000"/>
                <w:kern w:val="0"/>
                <w:sz w:val="22"/>
                <w:szCs w:val="22"/>
                <w:u w:val="none"/>
                <w:bdr w:val="none" w:color="auto" w:sz="0" w:space="0"/>
                <w:lang w:val="en-US" w:eastAsia="zh-CN" w:bidi="ar"/>
              </w:rPr>
              <w:t>半年</w:t>
            </w:r>
          </w:p>
        </w:tc>
        <w:tc>
          <w:tcPr>
            <w:tcW w:w="201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90" w:hRule="atLeast"/>
        </w:trPr>
        <w:tc>
          <w:tcPr>
            <w:tcW w:w="1401" w:type="dxa"/>
            <w:vMerge w:val="restart"/>
            <w:tcBorders>
              <w:top w:val="single" w:color="000000" w:sz="4" w:space="0"/>
              <w:left w:val="single" w:color="auto"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污水站  废水</w:t>
            </w:r>
          </w:p>
        </w:tc>
        <w:tc>
          <w:tcPr>
            <w:tcW w:w="21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动植物油</w:t>
            </w:r>
          </w:p>
        </w:tc>
        <w:tc>
          <w:tcPr>
            <w:tcW w:w="11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100</w:t>
            </w:r>
          </w:p>
        </w:tc>
        <w:tc>
          <w:tcPr>
            <w:tcW w:w="165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次/</w:t>
            </w:r>
            <w:r>
              <w:rPr>
                <w:rFonts w:hint="eastAsia" w:ascii="宋体" w:hAnsi="宋体" w:eastAsia="宋体" w:cs="宋体"/>
                <w:b/>
                <w:i w:val="0"/>
                <w:color w:val="000000"/>
                <w:kern w:val="0"/>
                <w:sz w:val="22"/>
                <w:szCs w:val="22"/>
                <w:u w:val="none"/>
                <w:bdr w:val="none" w:color="auto" w:sz="0" w:space="0"/>
                <w:lang w:val="en-US" w:eastAsia="zh-CN" w:bidi="ar"/>
              </w:rPr>
              <w:t>季度</w:t>
            </w:r>
          </w:p>
        </w:tc>
        <w:tc>
          <w:tcPr>
            <w:tcW w:w="201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90" w:hRule="atLeast"/>
        </w:trPr>
        <w:tc>
          <w:tcPr>
            <w:tcW w:w="1401" w:type="dxa"/>
            <w:vMerge w:val="continue"/>
            <w:tcBorders>
              <w:top w:val="single" w:color="000000" w:sz="4" w:space="0"/>
              <w:left w:val="single" w:color="auto"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总磷</w:t>
            </w:r>
          </w:p>
        </w:tc>
        <w:tc>
          <w:tcPr>
            <w:tcW w:w="11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8</w:t>
            </w:r>
          </w:p>
        </w:tc>
        <w:tc>
          <w:tcPr>
            <w:tcW w:w="165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次/</w:t>
            </w:r>
            <w:r>
              <w:rPr>
                <w:rFonts w:hint="eastAsia" w:ascii="宋体" w:hAnsi="宋体" w:eastAsia="宋体" w:cs="宋体"/>
                <w:b/>
                <w:i w:val="0"/>
                <w:color w:val="000000"/>
                <w:kern w:val="0"/>
                <w:sz w:val="22"/>
                <w:szCs w:val="22"/>
                <w:u w:val="none"/>
                <w:bdr w:val="none" w:color="auto" w:sz="0" w:space="0"/>
                <w:lang w:val="en-US" w:eastAsia="zh-CN" w:bidi="ar"/>
              </w:rPr>
              <w:t>季度</w:t>
            </w:r>
          </w:p>
        </w:tc>
        <w:tc>
          <w:tcPr>
            <w:tcW w:w="201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90" w:hRule="atLeast"/>
        </w:trPr>
        <w:tc>
          <w:tcPr>
            <w:tcW w:w="1401" w:type="dxa"/>
            <w:vMerge w:val="continue"/>
            <w:tcBorders>
              <w:top w:val="single" w:color="000000" w:sz="4" w:space="0"/>
              <w:left w:val="single" w:color="auto"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总氮</w:t>
            </w:r>
          </w:p>
        </w:tc>
        <w:tc>
          <w:tcPr>
            <w:tcW w:w="11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70</w:t>
            </w:r>
          </w:p>
        </w:tc>
        <w:tc>
          <w:tcPr>
            <w:tcW w:w="165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次/</w:t>
            </w:r>
            <w:r>
              <w:rPr>
                <w:rFonts w:hint="eastAsia" w:ascii="宋体" w:hAnsi="宋体" w:eastAsia="宋体" w:cs="宋体"/>
                <w:b/>
                <w:i w:val="0"/>
                <w:color w:val="000000"/>
                <w:kern w:val="0"/>
                <w:sz w:val="22"/>
                <w:szCs w:val="22"/>
                <w:u w:val="none"/>
                <w:bdr w:val="none" w:color="auto" w:sz="0" w:space="0"/>
                <w:lang w:val="en-US" w:eastAsia="zh-CN" w:bidi="ar"/>
              </w:rPr>
              <w:t>季度</w:t>
            </w:r>
          </w:p>
        </w:tc>
        <w:tc>
          <w:tcPr>
            <w:tcW w:w="201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95" w:hRule="atLeast"/>
        </w:trPr>
        <w:tc>
          <w:tcPr>
            <w:tcW w:w="1401" w:type="dxa"/>
            <w:vMerge w:val="continue"/>
            <w:tcBorders>
              <w:top w:val="single" w:color="000000" w:sz="4" w:space="0"/>
              <w:left w:val="single" w:color="auto"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五日生化 需氧量</w:t>
            </w:r>
          </w:p>
        </w:tc>
        <w:tc>
          <w:tcPr>
            <w:tcW w:w="11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300</w:t>
            </w:r>
          </w:p>
        </w:tc>
        <w:tc>
          <w:tcPr>
            <w:tcW w:w="165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次/</w:t>
            </w:r>
            <w:r>
              <w:rPr>
                <w:rFonts w:hint="eastAsia" w:ascii="宋体" w:hAnsi="宋体" w:eastAsia="宋体" w:cs="宋体"/>
                <w:b/>
                <w:i w:val="0"/>
                <w:color w:val="000000"/>
                <w:kern w:val="0"/>
                <w:sz w:val="22"/>
                <w:szCs w:val="22"/>
                <w:u w:val="none"/>
                <w:bdr w:val="none" w:color="auto" w:sz="0" w:space="0"/>
                <w:lang w:val="en-US" w:eastAsia="zh-CN" w:bidi="ar"/>
              </w:rPr>
              <w:t>季度</w:t>
            </w:r>
          </w:p>
        </w:tc>
        <w:tc>
          <w:tcPr>
            <w:tcW w:w="201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90" w:hRule="atLeast"/>
        </w:trPr>
        <w:tc>
          <w:tcPr>
            <w:tcW w:w="1401" w:type="dxa"/>
            <w:vMerge w:val="continue"/>
            <w:tcBorders>
              <w:top w:val="single" w:color="000000" w:sz="4" w:space="0"/>
              <w:left w:val="single" w:color="auto"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悬浮物</w:t>
            </w:r>
          </w:p>
        </w:tc>
        <w:tc>
          <w:tcPr>
            <w:tcW w:w="11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400</w:t>
            </w:r>
          </w:p>
        </w:tc>
        <w:tc>
          <w:tcPr>
            <w:tcW w:w="165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次/</w:t>
            </w:r>
            <w:r>
              <w:rPr>
                <w:rFonts w:hint="eastAsia" w:ascii="宋体" w:hAnsi="宋体" w:eastAsia="宋体" w:cs="宋体"/>
                <w:b/>
                <w:i w:val="0"/>
                <w:color w:val="000000"/>
                <w:kern w:val="0"/>
                <w:sz w:val="22"/>
                <w:szCs w:val="22"/>
                <w:u w:val="none"/>
                <w:bdr w:val="none" w:color="auto" w:sz="0" w:space="0"/>
                <w:lang w:val="en-US" w:eastAsia="zh-CN" w:bidi="ar"/>
              </w:rPr>
              <w:t>季度</w:t>
            </w:r>
          </w:p>
        </w:tc>
        <w:tc>
          <w:tcPr>
            <w:tcW w:w="201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90" w:hRule="atLeast"/>
        </w:trPr>
        <w:tc>
          <w:tcPr>
            <w:tcW w:w="1401" w:type="dxa"/>
            <w:vMerge w:val="restart"/>
            <w:tcBorders>
              <w:top w:val="single" w:color="000000" w:sz="4" w:space="0"/>
              <w:left w:val="single" w:color="auto"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厂界噪音</w:t>
            </w:r>
          </w:p>
        </w:tc>
        <w:tc>
          <w:tcPr>
            <w:tcW w:w="21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厂界东侧</w:t>
            </w:r>
          </w:p>
        </w:tc>
        <w:tc>
          <w:tcPr>
            <w:tcW w:w="11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60</w:t>
            </w:r>
          </w:p>
        </w:tc>
        <w:tc>
          <w:tcPr>
            <w:tcW w:w="165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次/</w:t>
            </w:r>
            <w:r>
              <w:rPr>
                <w:rFonts w:hint="eastAsia" w:ascii="宋体" w:hAnsi="宋体" w:eastAsia="宋体" w:cs="宋体"/>
                <w:b/>
                <w:i w:val="0"/>
                <w:color w:val="000000"/>
                <w:kern w:val="0"/>
                <w:sz w:val="22"/>
                <w:szCs w:val="22"/>
                <w:u w:val="none"/>
                <w:bdr w:val="none" w:color="auto" w:sz="0" w:space="0"/>
                <w:lang w:val="en-US" w:eastAsia="zh-CN" w:bidi="ar"/>
              </w:rPr>
              <w:t>季度</w:t>
            </w:r>
          </w:p>
        </w:tc>
        <w:tc>
          <w:tcPr>
            <w:tcW w:w="201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90" w:hRule="atLeast"/>
        </w:trPr>
        <w:tc>
          <w:tcPr>
            <w:tcW w:w="1401" w:type="dxa"/>
            <w:vMerge w:val="continue"/>
            <w:tcBorders>
              <w:top w:val="single" w:color="000000" w:sz="4" w:space="0"/>
              <w:left w:val="single" w:color="auto"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厂界南侧</w:t>
            </w:r>
          </w:p>
        </w:tc>
        <w:tc>
          <w:tcPr>
            <w:tcW w:w="11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60</w:t>
            </w:r>
          </w:p>
        </w:tc>
        <w:tc>
          <w:tcPr>
            <w:tcW w:w="165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次/</w:t>
            </w:r>
            <w:r>
              <w:rPr>
                <w:rFonts w:hint="eastAsia" w:ascii="宋体" w:hAnsi="宋体" w:eastAsia="宋体" w:cs="宋体"/>
                <w:b/>
                <w:i w:val="0"/>
                <w:color w:val="000000"/>
                <w:kern w:val="0"/>
                <w:sz w:val="22"/>
                <w:szCs w:val="22"/>
                <w:u w:val="none"/>
                <w:bdr w:val="none" w:color="auto" w:sz="0" w:space="0"/>
                <w:lang w:val="en-US" w:eastAsia="zh-CN" w:bidi="ar"/>
              </w:rPr>
              <w:t>季度</w:t>
            </w:r>
          </w:p>
        </w:tc>
        <w:tc>
          <w:tcPr>
            <w:tcW w:w="201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90" w:hRule="atLeast"/>
        </w:trPr>
        <w:tc>
          <w:tcPr>
            <w:tcW w:w="1401" w:type="dxa"/>
            <w:vMerge w:val="continue"/>
            <w:tcBorders>
              <w:top w:val="single" w:color="000000" w:sz="4" w:space="0"/>
              <w:left w:val="single" w:color="auto"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厂界西侧</w:t>
            </w:r>
          </w:p>
        </w:tc>
        <w:tc>
          <w:tcPr>
            <w:tcW w:w="11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60</w:t>
            </w:r>
          </w:p>
        </w:tc>
        <w:tc>
          <w:tcPr>
            <w:tcW w:w="165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次/</w:t>
            </w:r>
            <w:r>
              <w:rPr>
                <w:rFonts w:hint="eastAsia" w:ascii="宋体" w:hAnsi="宋体" w:eastAsia="宋体" w:cs="宋体"/>
                <w:b/>
                <w:i w:val="0"/>
                <w:color w:val="000000"/>
                <w:kern w:val="0"/>
                <w:sz w:val="22"/>
                <w:szCs w:val="22"/>
                <w:u w:val="none"/>
                <w:bdr w:val="none" w:color="auto" w:sz="0" w:space="0"/>
                <w:lang w:val="en-US" w:eastAsia="zh-CN" w:bidi="ar"/>
              </w:rPr>
              <w:t>季度</w:t>
            </w:r>
          </w:p>
        </w:tc>
        <w:tc>
          <w:tcPr>
            <w:tcW w:w="2010" w:type="dxa"/>
            <w:tcBorders>
              <w:top w:val="single" w:color="000000" w:sz="4" w:space="0"/>
              <w:left w:val="single" w:color="000000" w:sz="4" w:space="0"/>
              <w:bottom w:val="single" w:color="000000"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90" w:hRule="atLeast"/>
        </w:trPr>
        <w:tc>
          <w:tcPr>
            <w:tcW w:w="1401" w:type="dxa"/>
            <w:vMerge w:val="continue"/>
            <w:tcBorders>
              <w:top w:val="single" w:color="000000" w:sz="4" w:space="0"/>
              <w:left w:val="single" w:color="auto" w:sz="4" w:space="0"/>
              <w:bottom w:val="single" w:color="auto"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130" w:type="dxa"/>
            <w:tcBorders>
              <w:top w:val="single" w:color="000000" w:sz="4" w:space="0"/>
              <w:left w:val="single" w:color="000000" w:sz="4" w:space="0"/>
              <w:bottom w:val="single" w:color="auto"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厂界北侧</w:t>
            </w:r>
          </w:p>
        </w:tc>
        <w:tc>
          <w:tcPr>
            <w:tcW w:w="1155" w:type="dxa"/>
            <w:tcBorders>
              <w:top w:val="single" w:color="000000" w:sz="4" w:space="0"/>
              <w:left w:val="single" w:color="000000" w:sz="4" w:space="0"/>
              <w:bottom w:val="single" w:color="auto"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60</w:t>
            </w:r>
          </w:p>
        </w:tc>
        <w:tc>
          <w:tcPr>
            <w:tcW w:w="1650" w:type="dxa"/>
            <w:tcBorders>
              <w:top w:val="single" w:color="000000" w:sz="4" w:space="0"/>
              <w:left w:val="single" w:color="000000" w:sz="4" w:space="0"/>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次/</w:t>
            </w:r>
            <w:r>
              <w:rPr>
                <w:rFonts w:hint="eastAsia" w:ascii="宋体" w:hAnsi="宋体" w:eastAsia="宋体" w:cs="宋体"/>
                <w:b/>
                <w:i w:val="0"/>
                <w:color w:val="000000"/>
                <w:kern w:val="0"/>
                <w:sz w:val="22"/>
                <w:szCs w:val="22"/>
                <w:u w:val="none"/>
                <w:bdr w:val="none" w:color="auto" w:sz="0" w:space="0"/>
                <w:lang w:val="en-US" w:eastAsia="zh-CN" w:bidi="ar"/>
              </w:rPr>
              <w:t>季度</w:t>
            </w:r>
          </w:p>
        </w:tc>
        <w:tc>
          <w:tcPr>
            <w:tcW w:w="2010" w:type="dxa"/>
            <w:tcBorders>
              <w:top w:val="single" w:color="000000" w:sz="4" w:space="0"/>
              <w:left w:val="single" w:color="000000" w:sz="4" w:space="0"/>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4</w:t>
            </w:r>
          </w:p>
        </w:tc>
      </w:tr>
    </w:tbl>
    <w:p>
      <w:pPr>
        <w:spacing w:line="560" w:lineRule="exact"/>
        <w:ind w:firstLine="560" w:firstLineChars="200"/>
        <w:rPr>
          <w:rFonts w:hint="eastAsia" w:ascii="宋体" w:hAnsi="宋体" w:cs="仿宋"/>
          <w:color w:val="000000"/>
          <w:sz w:val="28"/>
          <w:szCs w:val="28"/>
        </w:rPr>
      </w:pPr>
      <w:bookmarkStart w:id="0" w:name="_GoBack"/>
      <w:bookmarkEnd w:id="0"/>
    </w:p>
    <w:p>
      <w:pPr>
        <w:numPr>
          <w:ilvl w:val="0"/>
          <w:numId w:val="3"/>
        </w:numPr>
        <w:spacing w:line="560" w:lineRule="exact"/>
        <w:ind w:firstLine="560" w:firstLineChars="200"/>
        <w:rPr>
          <w:rFonts w:hint="default" w:ascii="宋体" w:hAnsi="宋体" w:cs="仿宋"/>
          <w:color w:val="000000"/>
          <w:sz w:val="28"/>
          <w:szCs w:val="28"/>
          <w:lang w:val="en-US" w:eastAsia="zh-CN"/>
        </w:rPr>
      </w:pPr>
      <w:r>
        <w:rPr>
          <w:rFonts w:hint="eastAsia" w:ascii="宋体" w:hAnsi="宋体" w:cs="仿宋"/>
          <w:color w:val="000000"/>
          <w:sz w:val="28"/>
          <w:szCs w:val="28"/>
          <w:lang w:eastAsia="zh-CN"/>
        </w:rPr>
        <w:t>固体废物处置情况</w:t>
      </w:r>
    </w:p>
    <w:tbl>
      <w:tblPr>
        <w:tblStyle w:val="5"/>
        <w:tblpPr w:leftFromText="180" w:rightFromText="180" w:vertAnchor="text" w:horzAnchor="page" w:tblpX="1667" w:tblpY="392"/>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696"/>
        <w:gridCol w:w="1417"/>
        <w:gridCol w:w="1495"/>
        <w:gridCol w:w="1530"/>
        <w:gridCol w:w="2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Borders>
              <w:top w:val="double" w:color="auto" w:sz="4" w:space="0"/>
              <w:left w:val="dotted" w:color="auto" w:sz="4" w:space="0"/>
            </w:tcBorders>
            <w:noWrap w:val="0"/>
            <w:vAlign w:val="center"/>
          </w:tcPr>
          <w:p>
            <w:pPr>
              <w:spacing w:line="240" w:lineRule="auto"/>
              <w:jc w:val="center"/>
              <w:rPr>
                <w:rFonts w:hint="eastAsia" w:ascii="仿宋" w:hAnsi="仿宋" w:eastAsia="仿宋" w:cs="仿宋"/>
                <w:kern w:val="0"/>
                <w:szCs w:val="21"/>
              </w:rPr>
            </w:pPr>
            <w:r>
              <w:rPr>
                <w:rFonts w:hint="eastAsia" w:ascii="仿宋" w:hAnsi="仿宋" w:eastAsia="仿宋" w:cs="仿宋"/>
                <w:kern w:val="0"/>
                <w:szCs w:val="21"/>
              </w:rPr>
              <w:t>项目</w:t>
            </w:r>
          </w:p>
        </w:tc>
        <w:tc>
          <w:tcPr>
            <w:tcW w:w="696" w:type="dxa"/>
            <w:tcBorders>
              <w:top w:val="double" w:color="auto" w:sz="4" w:space="0"/>
            </w:tcBorders>
            <w:noWrap w:val="0"/>
            <w:vAlign w:val="center"/>
          </w:tcPr>
          <w:p>
            <w:pPr>
              <w:spacing w:line="240" w:lineRule="auto"/>
              <w:jc w:val="center"/>
              <w:rPr>
                <w:rFonts w:hint="eastAsia" w:ascii="仿宋" w:hAnsi="仿宋" w:eastAsia="仿宋" w:cs="仿宋"/>
                <w:kern w:val="0"/>
                <w:szCs w:val="21"/>
              </w:rPr>
            </w:pPr>
            <w:r>
              <w:rPr>
                <w:rFonts w:hint="eastAsia" w:ascii="仿宋" w:hAnsi="仿宋" w:eastAsia="仿宋" w:cs="仿宋"/>
                <w:kern w:val="0"/>
                <w:szCs w:val="21"/>
              </w:rPr>
              <w:t>类型</w:t>
            </w:r>
          </w:p>
        </w:tc>
        <w:tc>
          <w:tcPr>
            <w:tcW w:w="1417" w:type="dxa"/>
            <w:tcBorders>
              <w:top w:val="double" w:color="auto" w:sz="4" w:space="0"/>
            </w:tcBorders>
            <w:noWrap w:val="0"/>
            <w:vAlign w:val="center"/>
          </w:tcPr>
          <w:p>
            <w:pPr>
              <w:spacing w:line="240" w:lineRule="auto"/>
              <w:jc w:val="center"/>
              <w:rPr>
                <w:rFonts w:hint="eastAsia" w:ascii="仿宋" w:hAnsi="仿宋" w:eastAsia="仿宋" w:cs="仿宋"/>
                <w:kern w:val="0"/>
                <w:szCs w:val="21"/>
              </w:rPr>
            </w:pPr>
            <w:r>
              <w:rPr>
                <w:rFonts w:hint="eastAsia" w:ascii="仿宋" w:hAnsi="仿宋" w:eastAsia="仿宋" w:cs="仿宋"/>
                <w:kern w:val="0"/>
                <w:szCs w:val="21"/>
              </w:rPr>
              <w:t>产生数量（t）</w:t>
            </w:r>
          </w:p>
        </w:tc>
        <w:tc>
          <w:tcPr>
            <w:tcW w:w="1495" w:type="dxa"/>
            <w:tcBorders>
              <w:top w:val="double" w:color="auto" w:sz="4" w:space="0"/>
            </w:tcBorders>
            <w:noWrap w:val="0"/>
            <w:vAlign w:val="center"/>
          </w:tcPr>
          <w:p>
            <w:pPr>
              <w:spacing w:line="240" w:lineRule="auto"/>
              <w:jc w:val="center"/>
              <w:rPr>
                <w:rFonts w:hint="eastAsia" w:ascii="仿宋" w:hAnsi="仿宋" w:eastAsia="仿宋" w:cs="仿宋"/>
                <w:kern w:val="0"/>
                <w:szCs w:val="21"/>
              </w:rPr>
            </w:pPr>
            <w:r>
              <w:rPr>
                <w:rFonts w:hint="eastAsia" w:ascii="仿宋" w:hAnsi="仿宋" w:eastAsia="仿宋" w:cs="仿宋"/>
                <w:kern w:val="0"/>
                <w:szCs w:val="21"/>
              </w:rPr>
              <w:t>处置方式</w:t>
            </w:r>
          </w:p>
        </w:tc>
        <w:tc>
          <w:tcPr>
            <w:tcW w:w="1530" w:type="dxa"/>
            <w:tcBorders>
              <w:top w:val="double" w:color="auto" w:sz="4" w:space="0"/>
            </w:tcBorders>
            <w:noWrap w:val="0"/>
            <w:vAlign w:val="center"/>
          </w:tcPr>
          <w:p>
            <w:pPr>
              <w:spacing w:line="240" w:lineRule="auto"/>
              <w:jc w:val="center"/>
              <w:rPr>
                <w:rFonts w:hint="eastAsia" w:ascii="仿宋" w:hAnsi="仿宋" w:eastAsia="仿宋" w:cs="仿宋"/>
                <w:kern w:val="0"/>
                <w:szCs w:val="21"/>
              </w:rPr>
            </w:pPr>
            <w:r>
              <w:rPr>
                <w:rFonts w:hint="eastAsia" w:ascii="仿宋" w:hAnsi="仿宋" w:eastAsia="仿宋" w:cs="仿宋"/>
                <w:kern w:val="0"/>
                <w:szCs w:val="21"/>
              </w:rPr>
              <w:t>处置数量(t)</w:t>
            </w:r>
          </w:p>
        </w:tc>
        <w:tc>
          <w:tcPr>
            <w:tcW w:w="2962" w:type="dxa"/>
            <w:tcBorders>
              <w:top w:val="double" w:color="auto" w:sz="4" w:space="0"/>
              <w:right w:val="dotted" w:color="auto" w:sz="4" w:space="0"/>
            </w:tcBorders>
            <w:noWrap w:val="0"/>
            <w:vAlign w:val="center"/>
          </w:tcPr>
          <w:p>
            <w:pPr>
              <w:spacing w:line="240" w:lineRule="auto"/>
              <w:jc w:val="center"/>
              <w:rPr>
                <w:rFonts w:hint="eastAsia" w:ascii="仿宋" w:hAnsi="仿宋" w:eastAsia="仿宋" w:cs="仿宋"/>
                <w:kern w:val="0"/>
                <w:szCs w:val="21"/>
              </w:rPr>
            </w:pPr>
            <w:r>
              <w:rPr>
                <w:rFonts w:hint="eastAsia" w:ascii="仿宋" w:hAnsi="仿宋" w:eastAsia="仿宋" w:cs="仿宋"/>
                <w:kern w:val="0"/>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140" w:type="dxa"/>
            <w:tcBorders>
              <w:left w:val="dotted" w:color="auto" w:sz="4" w:space="0"/>
            </w:tcBorders>
            <w:noWrap w:val="0"/>
            <w:vAlign w:val="center"/>
          </w:tcPr>
          <w:p>
            <w:pPr>
              <w:spacing w:line="240" w:lineRule="auto"/>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鱼废</w:t>
            </w:r>
          </w:p>
        </w:tc>
        <w:tc>
          <w:tcPr>
            <w:tcW w:w="696" w:type="dxa"/>
            <w:noWrap w:val="0"/>
            <w:vAlign w:val="center"/>
          </w:tcPr>
          <w:p>
            <w:pPr>
              <w:spacing w:line="240" w:lineRule="auto"/>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固体</w:t>
            </w:r>
          </w:p>
        </w:tc>
        <w:tc>
          <w:tcPr>
            <w:tcW w:w="1417" w:type="dxa"/>
            <w:noWrap w:val="0"/>
            <w:vAlign w:val="center"/>
          </w:tcPr>
          <w:p>
            <w:pPr>
              <w:spacing w:line="240" w:lineRule="auto"/>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1600</w:t>
            </w:r>
          </w:p>
        </w:tc>
        <w:tc>
          <w:tcPr>
            <w:tcW w:w="1495" w:type="dxa"/>
            <w:noWrap w:val="0"/>
            <w:vAlign w:val="center"/>
          </w:tcPr>
          <w:p>
            <w:pPr>
              <w:spacing w:line="240" w:lineRule="auto"/>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第三方回收</w:t>
            </w:r>
          </w:p>
        </w:tc>
        <w:tc>
          <w:tcPr>
            <w:tcW w:w="1530" w:type="dxa"/>
            <w:noWrap w:val="0"/>
            <w:vAlign w:val="center"/>
          </w:tcPr>
          <w:p>
            <w:pPr>
              <w:spacing w:line="240" w:lineRule="auto"/>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1600</w:t>
            </w:r>
          </w:p>
        </w:tc>
        <w:tc>
          <w:tcPr>
            <w:tcW w:w="2962" w:type="dxa"/>
            <w:tcBorders>
              <w:right w:val="dotted" w:color="auto" w:sz="4" w:space="0"/>
            </w:tcBorders>
            <w:noWrap w:val="0"/>
            <w:vAlign w:val="center"/>
          </w:tcPr>
          <w:p>
            <w:pPr>
              <w:spacing w:line="240" w:lineRule="auto"/>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湖北浙湖生物科技有限公司</w:t>
            </w:r>
          </w:p>
        </w:tc>
      </w:tr>
    </w:tbl>
    <w:p>
      <w:pPr>
        <w:numPr>
          <w:ilvl w:val="0"/>
          <w:numId w:val="0"/>
        </w:numPr>
        <w:spacing w:line="560" w:lineRule="exact"/>
        <w:rPr>
          <w:rFonts w:hint="default" w:ascii="宋体" w:hAnsi="宋体" w:cs="仿宋"/>
          <w:color w:val="000000"/>
          <w:sz w:val="28"/>
          <w:szCs w:val="28"/>
          <w:lang w:val="en-US" w:eastAsia="zh-CN"/>
        </w:rPr>
      </w:pPr>
      <w:r>
        <w:rPr>
          <w:rFonts w:hint="eastAsia" w:ascii="宋体" w:hAnsi="宋体" w:cs="仿宋"/>
          <w:color w:val="000000"/>
          <w:sz w:val="28"/>
          <w:szCs w:val="28"/>
          <w:lang w:val="en-US" w:eastAsia="zh-CN"/>
        </w:rPr>
        <w:t xml:space="preserve">   </w:t>
      </w:r>
    </w:p>
    <w:p>
      <w:pPr>
        <w:numPr>
          <w:ilvl w:val="0"/>
          <w:numId w:val="2"/>
        </w:numPr>
        <w:ind w:left="0" w:leftChars="0" w:firstLine="0" w:firstLineChars="0"/>
        <w:rPr>
          <w:rFonts w:hint="eastAsia"/>
          <w:b/>
          <w:bCs/>
          <w:sz w:val="28"/>
          <w:szCs w:val="36"/>
          <w:lang w:val="en-US" w:eastAsia="zh-CN"/>
        </w:rPr>
      </w:pPr>
      <w:r>
        <w:rPr>
          <w:rFonts w:hint="eastAsia"/>
          <w:b/>
          <w:bCs/>
          <w:sz w:val="28"/>
          <w:szCs w:val="36"/>
          <w:lang w:val="en-US" w:eastAsia="zh-CN"/>
        </w:rPr>
        <w:t>降低环境负荷的措施及绩效</w:t>
      </w:r>
    </w:p>
    <w:p>
      <w:pPr>
        <w:ind w:firstLine="548" w:firstLineChars="196"/>
        <w:rPr>
          <w:rFonts w:hint="eastAsia" w:ascii="Helvetica" w:hAnsi="Helvetica" w:eastAsia="宋体" w:cs="宋体"/>
          <w:color w:val="000000"/>
          <w:kern w:val="0"/>
          <w:sz w:val="28"/>
          <w:szCs w:val="28"/>
          <w:lang w:eastAsia="zh-CN"/>
        </w:rPr>
      </w:pPr>
      <w:r>
        <w:rPr>
          <w:rFonts w:ascii="Helvetica" w:hAnsi="Helvetica" w:eastAsia="宋体" w:cs="宋体"/>
          <w:color w:val="000000"/>
          <w:kern w:val="0"/>
          <w:sz w:val="28"/>
          <w:szCs w:val="28"/>
        </w:rPr>
        <w:t>环保工作作为评定内容之一</w:t>
      </w:r>
      <w:r>
        <w:rPr>
          <w:rFonts w:hint="eastAsia" w:ascii="Helvetica" w:hAnsi="Helvetica" w:eastAsia="宋体" w:cs="宋体"/>
          <w:color w:val="000000"/>
          <w:kern w:val="0"/>
          <w:sz w:val="28"/>
          <w:szCs w:val="28"/>
          <w:lang w:eastAsia="zh-CN"/>
        </w:rPr>
        <w:t>。</w:t>
      </w:r>
    </w:p>
    <w:p>
      <w:pPr>
        <w:ind w:firstLine="548" w:firstLineChars="196"/>
        <w:rPr>
          <w:rFonts w:ascii="Helvetica" w:hAnsi="Helvetica" w:eastAsia="宋体" w:cs="宋体"/>
          <w:color w:val="000000"/>
          <w:kern w:val="0"/>
          <w:sz w:val="28"/>
          <w:szCs w:val="28"/>
        </w:rPr>
      </w:pPr>
      <w:r>
        <w:rPr>
          <w:rFonts w:ascii="Helvetica" w:hAnsi="Helvetica" w:eastAsia="宋体" w:cs="宋体"/>
          <w:color w:val="000000"/>
          <w:kern w:val="0"/>
          <w:sz w:val="28"/>
          <w:szCs w:val="28"/>
        </w:rPr>
        <w:t>环保人员要重视防治“三废”污染,保护环境。要把环境保护工作作为生产管理的一个重要组成部分,纳入到日常生产中去,实行生产环保一齐抓。</w:t>
      </w:r>
    </w:p>
    <w:p>
      <w:pPr>
        <w:ind w:firstLine="548" w:firstLineChars="196"/>
        <w:rPr>
          <w:rFonts w:ascii="Helvetica" w:hAnsi="Helvetica" w:eastAsia="宋体" w:cs="宋体"/>
          <w:color w:val="000000"/>
          <w:kern w:val="0"/>
          <w:sz w:val="28"/>
          <w:szCs w:val="28"/>
        </w:rPr>
      </w:pPr>
      <w:r>
        <w:rPr>
          <w:rFonts w:ascii="Helvetica" w:hAnsi="Helvetica" w:eastAsia="宋体" w:cs="宋体"/>
          <w:color w:val="000000"/>
          <w:kern w:val="0"/>
          <w:sz w:val="28"/>
          <w:szCs w:val="28"/>
        </w:rPr>
        <w:t>环境保护工作关系到周边环境和每个职工的身体健康及企业生产发展,企业员工必须严格执行环境保护工作制度,任何违反环保工作制度,造成事故者,必根据事故程度追究责任</w:t>
      </w:r>
      <w:r>
        <w:rPr>
          <w:rFonts w:hint="eastAsia" w:ascii="Helvetica" w:hAnsi="Helvetica" w:eastAsia="宋体" w:cs="宋体"/>
          <w:color w:val="000000"/>
          <w:kern w:val="0"/>
          <w:sz w:val="28"/>
          <w:szCs w:val="28"/>
        </w:rPr>
        <w:t>。</w:t>
      </w:r>
    </w:p>
    <w:p>
      <w:pPr>
        <w:ind w:firstLine="548" w:firstLineChars="196"/>
        <w:rPr>
          <w:rFonts w:ascii="Helvetica" w:hAnsi="Helvetica" w:eastAsia="宋体" w:cs="宋体"/>
          <w:color w:val="000000"/>
          <w:kern w:val="0"/>
          <w:sz w:val="28"/>
          <w:szCs w:val="28"/>
        </w:rPr>
      </w:pPr>
      <w:r>
        <w:rPr>
          <w:rFonts w:ascii="Helvetica" w:hAnsi="Helvetica" w:eastAsia="宋体" w:cs="宋体"/>
          <w:color w:val="000000"/>
          <w:kern w:val="0"/>
          <w:sz w:val="28"/>
          <w:szCs w:val="28"/>
        </w:rPr>
        <w:t>防止“三废”污染,实行“谁污染,谁治理”的原则, 所有造成环境污染和其它公害的车间都必须提出治理规划,有计划有步骤地加以实施,企业在财力、物力、人力方面应及时给予安排解决。</w:t>
      </w:r>
    </w:p>
    <w:p>
      <w:pPr>
        <w:ind w:firstLine="548" w:firstLineChars="196"/>
        <w:rPr>
          <w:rFonts w:ascii="Helvetica" w:hAnsi="Helvetica" w:eastAsia="宋体" w:cs="宋体"/>
          <w:color w:val="000000"/>
          <w:kern w:val="0"/>
          <w:sz w:val="28"/>
          <w:szCs w:val="28"/>
        </w:rPr>
      </w:pPr>
      <w:r>
        <w:rPr>
          <w:rFonts w:ascii="Helvetica" w:hAnsi="Helvetica" w:eastAsia="宋体" w:cs="宋体"/>
          <w:color w:val="000000"/>
          <w:kern w:val="0"/>
          <w:sz w:val="28"/>
          <w:szCs w:val="28"/>
        </w:rPr>
        <w:t>对环保设施、设备等要认真管理建立定期检查、维修和维修后验收制度保证设备、设施完好,运转率达到考核指标要求,并确保备品备药的正常储备量</w:t>
      </w:r>
      <w:r>
        <w:rPr>
          <w:rFonts w:hint="eastAsia" w:ascii="Helvetica" w:hAnsi="Helvetica" w:eastAsia="宋体" w:cs="宋体"/>
          <w:color w:val="000000"/>
          <w:kern w:val="0"/>
          <w:sz w:val="28"/>
          <w:szCs w:val="28"/>
        </w:rPr>
        <w:t>。</w:t>
      </w:r>
    </w:p>
    <w:p>
      <w:pPr>
        <w:widowControl w:val="0"/>
        <w:numPr>
          <w:ilvl w:val="0"/>
          <w:numId w:val="0"/>
        </w:numPr>
        <w:ind w:firstLine="560" w:firstLineChars="200"/>
        <w:jc w:val="both"/>
        <w:rPr>
          <w:rFonts w:ascii="Helvetica" w:hAnsi="Helvetica" w:eastAsia="宋体" w:cs="宋体"/>
          <w:color w:val="000000"/>
          <w:kern w:val="0"/>
          <w:sz w:val="28"/>
          <w:szCs w:val="28"/>
        </w:rPr>
      </w:pPr>
      <w:r>
        <w:rPr>
          <w:rFonts w:ascii="Helvetica" w:hAnsi="Helvetica" w:eastAsia="宋体" w:cs="宋体"/>
          <w:color w:val="000000"/>
          <w:kern w:val="0"/>
          <w:sz w:val="28"/>
          <w:szCs w:val="28"/>
        </w:rPr>
        <w:t>凡新建、扩建、改造项目中的“三废”治理和综合利用工作所需资金、设备材料,必须同时列入计划,切实予以保证,在施工过程中不得以任何理由为借口排挤“三废”治理和综合利用工程的资金、设备、材料和人力等。</w:t>
      </w:r>
    </w:p>
    <w:p>
      <w:pPr>
        <w:widowControl w:val="0"/>
        <w:numPr>
          <w:ilvl w:val="0"/>
          <w:numId w:val="0"/>
        </w:numPr>
        <w:ind w:firstLine="560" w:firstLineChars="200"/>
        <w:jc w:val="both"/>
        <w:rPr>
          <w:rFonts w:hint="default" w:ascii="Helvetica" w:hAnsi="Helvetica" w:eastAsia="宋体" w:cs="宋体"/>
          <w:color w:val="000000"/>
          <w:kern w:val="0"/>
          <w:sz w:val="28"/>
          <w:szCs w:val="28"/>
          <w:lang w:val="en-US" w:eastAsia="zh-CN"/>
        </w:rPr>
      </w:pPr>
    </w:p>
    <w:p>
      <w:pPr>
        <w:numPr>
          <w:ilvl w:val="0"/>
          <w:numId w:val="2"/>
        </w:numPr>
        <w:ind w:left="0" w:leftChars="0" w:firstLine="0" w:firstLineChars="0"/>
        <w:rPr>
          <w:rFonts w:hint="eastAsia"/>
          <w:b/>
          <w:bCs/>
          <w:sz w:val="28"/>
          <w:szCs w:val="36"/>
          <w:lang w:val="en-US" w:eastAsia="zh-CN"/>
        </w:rPr>
      </w:pPr>
      <w:r>
        <w:rPr>
          <w:rFonts w:hint="eastAsia"/>
          <w:b/>
          <w:bCs/>
          <w:sz w:val="28"/>
          <w:szCs w:val="36"/>
          <w:lang w:val="en-US" w:eastAsia="zh-CN"/>
        </w:rPr>
        <w:t>与社会及利益相关者关系</w:t>
      </w:r>
    </w:p>
    <w:p>
      <w:pPr>
        <w:widowControl w:val="0"/>
        <w:numPr>
          <w:ilvl w:val="0"/>
          <w:numId w:val="4"/>
        </w:numPr>
        <w:ind w:firstLine="560" w:firstLineChars="200"/>
        <w:jc w:val="both"/>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与消费者的关系</w:t>
      </w:r>
    </w:p>
    <w:p>
      <w:pPr>
        <w:widowControl w:val="0"/>
        <w:numPr>
          <w:ilvl w:val="0"/>
          <w:numId w:val="0"/>
        </w:numPr>
        <w:ind w:firstLine="560"/>
        <w:jc w:val="both"/>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为消费者提供质量安全可靠、营养价值高的多种水产制品。</w:t>
      </w:r>
    </w:p>
    <w:p>
      <w:pPr>
        <w:widowControl w:val="0"/>
        <w:numPr>
          <w:ilvl w:val="0"/>
          <w:numId w:val="0"/>
        </w:numPr>
        <w:ind w:firstLine="560" w:firstLineChars="200"/>
        <w:jc w:val="both"/>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2.与员工的关系</w:t>
      </w:r>
    </w:p>
    <w:p>
      <w:pPr>
        <w:widowControl w:val="0"/>
        <w:numPr>
          <w:ilvl w:val="0"/>
          <w:numId w:val="0"/>
        </w:numPr>
        <w:ind w:firstLine="560" w:firstLineChars="200"/>
        <w:jc w:val="both"/>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公司为员工提供良好的工作生活环境，注重加强员工的技能培训教育。公司员工的稳定为公司安全环保生产提供了坚实的基础。</w:t>
      </w:r>
    </w:p>
    <w:p>
      <w:pPr>
        <w:widowControl w:val="0"/>
        <w:numPr>
          <w:ilvl w:val="0"/>
          <w:numId w:val="0"/>
        </w:numPr>
        <w:ind w:firstLine="560" w:firstLineChars="200"/>
        <w:jc w:val="both"/>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3.与公众的关系</w:t>
      </w:r>
    </w:p>
    <w:p>
      <w:pPr>
        <w:spacing w:line="460" w:lineRule="exact"/>
        <w:ind w:firstLine="560" w:firstLineChars="200"/>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公司环境信息及时向社会公众进行披露并上传环保局网站。多年来，公司凭借市场、品牌、科技、规模等优势先后获得“农业产业化国家重点龙头企业”、“国家高新技术企业”、“农业部全国农产品加工企业技术创新机构”、“农业部水产健康养殖示范场”、“国家级斑点叉尾鮰良种场”、“国家级无公害水产品标准化示范区”、“全国休闲渔业示范基地”、“全国现代渔业种业示范场”、“安徽省农业产业化龙头企业‘甲级队’”、牵头成立的“安徽富煌三珍现代农业（渔业）产业化联合体”为省级示范现代农业产业化联合体、“安徽省十大农产品出口示范基地”、“安徽省渔业产业化龙头企业排头兵”、“安徽省无公害水产品安全追溯试点企业”、2015-2016年度安徽省“守合同重信用企业”、“安徽省诚信示范企业”、“合肥市2014-2016年度先进单位”、“合肥市小微企业创业示范基地”、巢湖市“2018年度‘百企帮百村’精准扶贫先进单位”、“安全标准化三级企业”，安徽省食品行业协会授予的“食品安全诚信宣誓单位”、“安徽省食品行业最具成长性企业”。为“中国渔业协会副会长单位”、“中国水产流通与加工协会副会长单位”、“中国水产流通与加工协会鲶鱼产业分会会长单位”、“中国水产流通与加工协会内陆天然水域产销分会常务理事单位”、“安徽省渔业协会副会长单位”、“安徽省食品行业协会副会长单位”、“安徽省餐饮行业协会副会长单位”、“合肥市农产品质量安全可追溯产业技术创新战略联盟成员单位”，为推动我国渔业发展发挥了积极作用。</w:t>
      </w:r>
    </w:p>
    <w:p>
      <w:pPr>
        <w:spacing w:line="460" w:lineRule="exact"/>
        <w:ind w:firstLine="560" w:firstLineChars="200"/>
        <w:rPr>
          <w:rFonts w:hint="default"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“十三五”期间，公司紧密围绕产业升级、市场转型、技术创新和品牌建设四大抓手，全面强化产业链建设，为农业供给侧结构性改革、乡村振兴、脱贫攻坚战做出更大的贡献。</w:t>
      </w:r>
    </w:p>
    <w:p>
      <w:pPr>
        <w:numPr>
          <w:ilvl w:val="0"/>
          <w:numId w:val="0"/>
        </w:numPr>
        <w:rPr>
          <w:rFonts w:hint="eastAsia"/>
          <w:b/>
          <w:bCs/>
          <w:sz w:val="28"/>
          <w:szCs w:val="36"/>
          <w:lang w:val="en-US" w:eastAsia="zh-CN"/>
        </w:rPr>
      </w:pPr>
    </w:p>
    <w:p>
      <w:pPr>
        <w:numPr>
          <w:ilvl w:val="0"/>
          <w:numId w:val="0"/>
        </w:numPr>
        <w:rPr>
          <w:rFonts w:hint="default"/>
          <w:b/>
          <w:bCs/>
          <w:sz w:val="28"/>
          <w:szCs w:val="36"/>
          <w:lang w:val="en-US" w:eastAsia="zh-CN"/>
        </w:rPr>
      </w:pPr>
      <w:r>
        <w:rPr>
          <w:rFonts w:hint="eastAsia"/>
          <w:b/>
          <w:bCs/>
          <w:sz w:val="28"/>
          <w:szCs w:val="36"/>
          <w:lang w:val="en-US" w:eastAsia="zh-CN"/>
        </w:rPr>
        <w:t>七、总结</w:t>
      </w:r>
    </w:p>
    <w:p>
      <w:pPr>
        <w:widowControl w:val="0"/>
        <w:numPr>
          <w:ilvl w:val="0"/>
          <w:numId w:val="0"/>
        </w:numPr>
        <w:ind w:firstLine="560" w:firstLineChars="200"/>
        <w:jc w:val="both"/>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本报告参照国家环保部，《企业环境报告书编制到则》进行编制，公司从建设起未发生重大环境违法时间。公司在领导带领下，继续完善环保规章制度，加强环境保护管理，确保各项污染物、达标排放，积极履行环保社会责任。为推动我国水产品加工业的发展发挥了积极作用。</w:t>
      </w:r>
    </w:p>
    <w:p>
      <w:pPr>
        <w:widowControl w:val="0"/>
        <w:numPr>
          <w:ilvl w:val="0"/>
          <w:numId w:val="0"/>
        </w:numPr>
        <w:ind w:firstLine="560" w:firstLineChars="200"/>
        <w:jc w:val="both"/>
        <w:rPr>
          <w:rFonts w:hint="default" w:ascii="Helvetica" w:hAnsi="Helvetica" w:eastAsia="宋体" w:cs="宋体"/>
          <w:color w:val="000000"/>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仿宋">
    <w:altName w:val="微软雅黑"/>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6FB18"/>
    <w:multiLevelType w:val="singleLevel"/>
    <w:tmpl w:val="84A6FB18"/>
    <w:lvl w:ilvl="0" w:tentative="0">
      <w:start w:val="2"/>
      <w:numFmt w:val="decimal"/>
      <w:suff w:val="nothing"/>
      <w:lvlText w:val="（%1）"/>
      <w:lvlJc w:val="left"/>
    </w:lvl>
  </w:abstractNum>
  <w:abstractNum w:abstractNumId="1">
    <w:nsid w:val="BB3242FE"/>
    <w:multiLevelType w:val="singleLevel"/>
    <w:tmpl w:val="BB3242FE"/>
    <w:lvl w:ilvl="0" w:tentative="0">
      <w:start w:val="4"/>
      <w:numFmt w:val="chineseCounting"/>
      <w:suff w:val="nothing"/>
      <w:lvlText w:val="%1、"/>
      <w:lvlJc w:val="left"/>
      <w:rPr>
        <w:rFonts w:hint="eastAsia"/>
      </w:rPr>
    </w:lvl>
  </w:abstractNum>
  <w:abstractNum w:abstractNumId="2">
    <w:nsid w:val="499D3930"/>
    <w:multiLevelType w:val="singleLevel"/>
    <w:tmpl w:val="499D3930"/>
    <w:lvl w:ilvl="0" w:tentative="0">
      <w:start w:val="1"/>
      <w:numFmt w:val="decimal"/>
      <w:lvlText w:val="%1."/>
      <w:lvlJc w:val="left"/>
      <w:pPr>
        <w:tabs>
          <w:tab w:val="left" w:pos="312"/>
        </w:tabs>
      </w:pPr>
    </w:lvl>
  </w:abstractNum>
  <w:abstractNum w:abstractNumId="3">
    <w:nsid w:val="6895E7BA"/>
    <w:multiLevelType w:val="singleLevel"/>
    <w:tmpl w:val="6895E7BA"/>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12E70"/>
    <w:rsid w:val="0AB31BE9"/>
    <w:rsid w:val="1DFF0AF8"/>
    <w:rsid w:val="3BCD322E"/>
    <w:rsid w:val="3E012EDF"/>
    <w:rsid w:val="669C76AC"/>
    <w:rsid w:val="74385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jc w:val="center"/>
      <w:outlineLvl w:val="0"/>
    </w:pPr>
    <w:rPr>
      <w:b/>
      <w:bCs/>
      <w:kern w:val="44"/>
      <w:sz w:val="30"/>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ind w:left="120" w:right="262"/>
      <w:jc w:val="left"/>
    </w:pPr>
    <w:rPr>
      <w:rFonts w:ascii="宋体" w:hAnsi="宋体" w:cs="宋体"/>
      <w:kern w:val="0"/>
      <w:sz w:val="24"/>
      <w:szCs w:val="24"/>
      <w:lang w:val="zh-CN" w:bidi="zh-CN"/>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2019-08-02T02:06:00Z</dcterms:created>
  <dc:creator>Administrator</dc:creator>
  <cp:lastModifiedBy>Administrator</cp:lastModifiedBy>
  <dcterms:modified xsi:type="dcterms:W3CDTF">2022-05-09T05:36:39Z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E580928A44B04A01AB6F87E74DBD721B</vt:lpwstr>
  </property>
</Properties>
</file>