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sz w:val="96"/>
          <w:szCs w:val="160"/>
          <w:lang w:eastAsia="zh-CN"/>
        </w:rPr>
      </w:pPr>
    </w:p>
    <w:p>
      <w:pPr>
        <w:jc w:val="center"/>
        <w:rPr>
          <w:rFonts w:hint="eastAsia" w:asciiTheme="minorEastAsia" w:hAnsiTheme="minorEastAsia" w:eastAsiaTheme="minorEastAsia" w:cstheme="minorEastAsia"/>
          <w:sz w:val="96"/>
          <w:szCs w:val="160"/>
          <w:lang w:eastAsia="zh-CN"/>
        </w:rPr>
      </w:pPr>
    </w:p>
    <w:p>
      <w:pPr>
        <w:jc w:val="center"/>
        <w:rPr>
          <w:rFonts w:hint="eastAsia" w:asciiTheme="minorEastAsia" w:hAnsiTheme="minorEastAsia" w:eastAsiaTheme="minorEastAsia" w:cstheme="minorEastAsia"/>
          <w:sz w:val="96"/>
          <w:szCs w:val="160"/>
          <w:lang w:eastAsia="zh-CN"/>
        </w:rPr>
      </w:pPr>
    </w:p>
    <w:p>
      <w:pPr>
        <w:jc w:val="center"/>
        <w:rPr>
          <w:rFonts w:hint="eastAsia"/>
          <w:sz w:val="96"/>
          <w:szCs w:val="160"/>
          <w:lang w:val="en-US" w:eastAsia="zh-CN"/>
        </w:rPr>
      </w:pPr>
      <w:r>
        <w:rPr>
          <w:rFonts w:hint="eastAsia" w:asciiTheme="minorEastAsia" w:hAnsiTheme="minorEastAsia" w:eastAsiaTheme="minorEastAsia" w:cstheme="minorEastAsia"/>
          <w:sz w:val="96"/>
          <w:szCs w:val="160"/>
          <w:lang w:eastAsia="zh-CN"/>
        </w:rPr>
        <w:t>企业环境报告书</w:t>
      </w:r>
    </w:p>
    <w:p>
      <w:pPr>
        <w:jc w:val="center"/>
        <w:rPr>
          <w:rFonts w:hint="default"/>
          <w:sz w:val="96"/>
          <w:szCs w:val="160"/>
          <w:lang w:val="en-US" w:eastAsia="zh-CN"/>
        </w:rPr>
      </w:pPr>
      <w:r>
        <w:rPr>
          <w:rFonts w:hint="eastAsia"/>
          <w:sz w:val="48"/>
          <w:szCs w:val="56"/>
          <w:lang w:val="en-US" w:eastAsia="zh-CN"/>
        </w:rPr>
        <w:t>2018年度</w:t>
      </w:r>
    </w:p>
    <w:p>
      <w:pPr>
        <w:rPr>
          <w:rFonts w:hint="eastAsia"/>
          <w:sz w:val="32"/>
          <w:szCs w:val="40"/>
          <w:lang w:val="en-US" w:eastAsia="zh-CN"/>
        </w:rPr>
      </w:pPr>
    </w:p>
    <w:p>
      <w:pPr>
        <w:rPr>
          <w:rFonts w:hint="eastAsia"/>
          <w:sz w:val="32"/>
          <w:szCs w:val="40"/>
          <w:lang w:val="en-US" w:eastAsia="zh-CN"/>
        </w:rPr>
      </w:pPr>
    </w:p>
    <w:p>
      <w:pPr>
        <w:rPr>
          <w:rFonts w:hint="eastAsia"/>
          <w:sz w:val="32"/>
          <w:szCs w:val="40"/>
          <w:lang w:val="en-US" w:eastAsia="zh-CN"/>
        </w:rPr>
      </w:pPr>
    </w:p>
    <w:p>
      <w:pPr>
        <w:rPr>
          <w:rFonts w:hint="eastAsia"/>
          <w:sz w:val="32"/>
          <w:szCs w:val="40"/>
          <w:lang w:val="en-US" w:eastAsia="zh-CN"/>
        </w:rPr>
      </w:pPr>
    </w:p>
    <w:p>
      <w:pPr>
        <w:rPr>
          <w:rFonts w:hint="eastAsia"/>
          <w:sz w:val="32"/>
          <w:szCs w:val="40"/>
          <w:lang w:val="en-US" w:eastAsia="zh-CN"/>
        </w:rPr>
      </w:pPr>
    </w:p>
    <w:p>
      <w:pPr>
        <w:rPr>
          <w:rFonts w:hint="eastAsia"/>
          <w:sz w:val="32"/>
          <w:szCs w:val="40"/>
          <w:lang w:val="en-US" w:eastAsia="zh-CN"/>
        </w:rPr>
      </w:pPr>
    </w:p>
    <w:p>
      <w:pPr>
        <w:rPr>
          <w:rFonts w:hint="eastAsia"/>
          <w:sz w:val="32"/>
          <w:szCs w:val="40"/>
          <w:lang w:val="en-US" w:eastAsia="zh-CN"/>
        </w:rPr>
      </w:pPr>
    </w:p>
    <w:p>
      <w:pPr>
        <w:rPr>
          <w:rFonts w:hint="eastAsia"/>
          <w:sz w:val="32"/>
          <w:szCs w:val="40"/>
          <w:lang w:val="en-US" w:eastAsia="zh-CN"/>
        </w:rPr>
      </w:pPr>
    </w:p>
    <w:p>
      <w:pPr>
        <w:rPr>
          <w:rFonts w:hint="eastAsia"/>
          <w:sz w:val="32"/>
          <w:szCs w:val="40"/>
          <w:lang w:val="en-US" w:eastAsia="zh-CN"/>
        </w:rPr>
      </w:pPr>
    </w:p>
    <w:p>
      <w:pPr>
        <w:rPr>
          <w:rFonts w:hint="eastAsia"/>
          <w:sz w:val="32"/>
          <w:szCs w:val="40"/>
          <w:lang w:val="en-US" w:eastAsia="zh-CN"/>
        </w:rPr>
      </w:pPr>
    </w:p>
    <w:p>
      <w:pPr>
        <w:rPr>
          <w:rFonts w:hint="eastAsia"/>
          <w:sz w:val="32"/>
          <w:szCs w:val="40"/>
          <w:lang w:val="en-US" w:eastAsia="zh-CN"/>
        </w:rPr>
      </w:pPr>
    </w:p>
    <w:p>
      <w:pPr>
        <w:jc w:val="center"/>
        <w:rPr>
          <w:rFonts w:hint="eastAsia"/>
          <w:sz w:val="32"/>
          <w:szCs w:val="40"/>
          <w:lang w:val="en-US" w:eastAsia="zh-CN"/>
        </w:rPr>
      </w:pPr>
    </w:p>
    <w:p>
      <w:pPr>
        <w:jc w:val="center"/>
        <w:rPr>
          <w:rFonts w:hint="eastAsia"/>
          <w:lang w:val="en-US" w:eastAsia="zh-CN"/>
        </w:rPr>
      </w:pPr>
      <w:r>
        <w:rPr>
          <w:rFonts w:hint="eastAsia"/>
          <w:sz w:val="32"/>
          <w:szCs w:val="40"/>
          <w:lang w:val="en-US" w:eastAsia="zh-CN"/>
        </w:rPr>
        <w:t>安徽富煌三珍食品集团有限公司</w:t>
      </w:r>
    </w:p>
    <w:p>
      <w:pPr>
        <w:rPr>
          <w:rFonts w:hint="eastAsia"/>
          <w:lang w:val="en-US" w:eastAsia="zh-CN"/>
        </w:rPr>
      </w:pPr>
    </w:p>
    <w:p>
      <w:pPr>
        <w:numPr>
          <w:ilvl w:val="0"/>
          <w:numId w:val="1"/>
        </w:numPr>
        <w:rPr>
          <w:rFonts w:hint="eastAsia"/>
          <w:b/>
          <w:bCs/>
          <w:sz w:val="28"/>
          <w:szCs w:val="36"/>
          <w:lang w:val="en-US" w:eastAsia="zh-CN"/>
        </w:rPr>
      </w:pPr>
      <w:r>
        <w:rPr>
          <w:rFonts w:hint="eastAsia"/>
          <w:b/>
          <w:bCs/>
          <w:sz w:val="28"/>
          <w:szCs w:val="36"/>
          <w:lang w:val="en-US" w:eastAsia="zh-CN"/>
        </w:rPr>
        <w:t xml:space="preserve">高层致辞 </w:t>
      </w:r>
    </w:p>
    <w:p>
      <w:pPr>
        <w:ind w:firstLine="548" w:firstLineChars="196"/>
        <w:rPr>
          <w:rFonts w:hint="eastAsia" w:ascii="Helvetica" w:hAnsi="Helvetica" w:eastAsia="宋体" w:cs="宋体"/>
          <w:color w:val="000000"/>
          <w:kern w:val="0"/>
          <w:sz w:val="28"/>
          <w:szCs w:val="28"/>
          <w:lang w:val="en-US" w:eastAsia="zh-CN"/>
        </w:rPr>
      </w:pPr>
      <w:r>
        <w:rPr>
          <w:rFonts w:hint="eastAsia" w:ascii="Helvetica" w:hAnsi="Helvetica" w:eastAsia="宋体" w:cs="宋体"/>
          <w:color w:val="000000"/>
          <w:kern w:val="0"/>
          <w:sz w:val="28"/>
          <w:szCs w:val="28"/>
          <w:lang w:val="en-US" w:eastAsia="zh-CN"/>
        </w:rPr>
        <w:t>环境保护是我国的基本国策。随着社会经济的快速发展，面对全球气候变暖、大气及水体与海洋污染、自然资源及生态环境污染影响等，环境问题已成为制约人类生存和发展的重大问题。企业作为社会发展的主动力，环境资源的主要消耗者与环境污染源的主要产生者，应义不容辞的担当起推进生态文明建设，发展绿色经济的历史责任。保护环境,实现生产、生活和生态的良性循环,是每个企业应尽的社会责任。为此，公司致力于通过各种方式减少生产过程对资源的消耗、对环境的污染, 始终坚持“安全第一、达标排放、防消结合、综合治理”的发展模式，积极履行作为绿色发展的理念。着力进行节能减排技术创新、夯实环保管理基础。</w:t>
      </w:r>
    </w:p>
    <w:p>
      <w:pPr>
        <w:ind w:firstLine="548" w:firstLineChars="196"/>
        <w:rPr>
          <w:rFonts w:hint="eastAsia" w:ascii="Helvetica" w:hAnsi="Helvetica" w:eastAsia="宋体" w:cs="宋体"/>
          <w:color w:val="000000"/>
          <w:kern w:val="0"/>
          <w:sz w:val="28"/>
          <w:szCs w:val="28"/>
          <w:lang w:val="en-US" w:eastAsia="zh-CN"/>
        </w:rPr>
      </w:pPr>
      <w:r>
        <w:rPr>
          <w:rFonts w:hint="eastAsia" w:ascii="Helvetica" w:hAnsi="Helvetica" w:eastAsia="宋体" w:cs="宋体"/>
          <w:color w:val="000000"/>
          <w:kern w:val="0"/>
          <w:sz w:val="28"/>
          <w:szCs w:val="28"/>
          <w:lang w:val="en-US" w:eastAsia="zh-CN"/>
        </w:rPr>
        <w:t>我公司坚持用科学发展观统领企业运营，一方面不断推进工艺改造，从源头上实现节能减排；另一方面不断强化企业环境管理体系的健全和完善，促进企业环境管理的科学化、制度化建设。我们进一步完善了公司多项环境管理制度，通过组织各种形式的宣传和培训活动，不断强化全体员工环保意识，将企业“做好环境保护事关企业的生死存亡”的重要理念融入到公司每位员工的思想和行动之中。</w:t>
      </w:r>
    </w:p>
    <w:p>
      <w:pPr>
        <w:ind w:firstLine="548" w:firstLineChars="196"/>
        <w:rPr>
          <w:rFonts w:hint="eastAsia" w:ascii="Helvetica" w:hAnsi="Helvetica" w:eastAsia="宋体" w:cs="宋体"/>
          <w:color w:val="000000"/>
          <w:kern w:val="0"/>
          <w:sz w:val="28"/>
          <w:szCs w:val="28"/>
          <w:lang w:val="en-US" w:eastAsia="zh-CN"/>
        </w:rPr>
      </w:pPr>
      <w:r>
        <w:rPr>
          <w:rFonts w:hint="eastAsia" w:ascii="Helvetica" w:hAnsi="Helvetica" w:eastAsia="宋体" w:cs="宋体"/>
          <w:color w:val="000000"/>
          <w:kern w:val="0"/>
          <w:sz w:val="28"/>
          <w:szCs w:val="28"/>
          <w:lang w:val="en-US" w:eastAsia="zh-CN"/>
        </w:rPr>
        <w:t>依据国家环保部《企业环境报告书编制导则》（HJ617-2011）的相关要求，我公司组织编制了《安徽富煌三珍食品集团2018年度环境报告书》，我们希望通过2018年度本公司的环境报告，将公司的环境信息系统透明、真实地传达给公众，以实现企业与社会及利益相关者之间的环境信息交流，进一步履行社会责任和义务，并诚恳接受社会、公众和各级环境管理部门的监督指导。</w:t>
      </w:r>
    </w:p>
    <w:p>
      <w:pPr>
        <w:numPr>
          <w:ilvl w:val="0"/>
          <w:numId w:val="0"/>
        </w:numPr>
        <w:rPr>
          <w:rFonts w:hint="default"/>
          <w:lang w:val="en-US" w:eastAsia="zh-CN"/>
        </w:rPr>
      </w:pPr>
    </w:p>
    <w:p>
      <w:pPr>
        <w:numPr>
          <w:ilvl w:val="0"/>
          <w:numId w:val="0"/>
        </w:numPr>
        <w:rPr>
          <w:rFonts w:hint="default"/>
          <w:lang w:val="en-US" w:eastAsia="zh-CN"/>
        </w:rPr>
      </w:pPr>
      <w:r>
        <w:rPr>
          <w:rFonts w:hint="eastAsia"/>
          <w:b/>
          <w:bCs/>
          <w:sz w:val="28"/>
          <w:szCs w:val="36"/>
          <w:lang w:val="en-US" w:eastAsia="zh-CN"/>
        </w:rPr>
        <w:t>二、公司概况及编制说明</w:t>
      </w:r>
    </w:p>
    <w:p>
      <w:pPr>
        <w:numPr>
          <w:ilvl w:val="0"/>
          <w:numId w:val="0"/>
        </w:numPr>
        <w:ind w:firstLine="562" w:firstLineChars="200"/>
        <w:rPr>
          <w:rFonts w:hint="eastAsia"/>
          <w:b/>
          <w:bCs/>
          <w:sz w:val="28"/>
          <w:szCs w:val="36"/>
          <w:lang w:val="en-US" w:eastAsia="zh-CN"/>
        </w:rPr>
      </w:pPr>
      <w:r>
        <w:rPr>
          <w:rFonts w:hint="eastAsia"/>
          <w:b/>
          <w:bCs/>
          <w:sz w:val="28"/>
          <w:szCs w:val="36"/>
          <w:lang w:val="en-US" w:eastAsia="zh-CN"/>
        </w:rPr>
        <w:t>公司概况</w:t>
      </w:r>
    </w:p>
    <w:p>
      <w:pPr>
        <w:ind w:firstLine="548" w:firstLineChars="196"/>
        <w:rPr>
          <w:rFonts w:hint="eastAsia" w:ascii="Helvetica" w:hAnsi="Helvetica" w:eastAsia="宋体" w:cs="宋体"/>
          <w:color w:val="000000"/>
          <w:kern w:val="0"/>
          <w:sz w:val="28"/>
          <w:szCs w:val="28"/>
          <w:lang w:val="en-US" w:eastAsia="zh-CN"/>
        </w:rPr>
      </w:pPr>
      <w:r>
        <w:rPr>
          <w:rFonts w:hint="eastAsia" w:ascii="Helvetica" w:hAnsi="Helvetica" w:eastAsia="宋体" w:cs="宋体"/>
          <w:color w:val="000000"/>
          <w:kern w:val="0"/>
          <w:sz w:val="28"/>
          <w:szCs w:val="28"/>
          <w:lang w:val="en-US" w:eastAsia="zh-CN"/>
        </w:rPr>
        <w:t>安徽富煌三珍食品集团有限公司成立于2002年，公司注册资金9430.56万元。加工区位于安徽省合肥市巢湖市黄麓镇富煌工业园，苗种繁育、养殖区位于巢湖市黄麓镇花塘行政村天井圩，是一家专于水产品全产业链体系建设的农业产业化国家重点龙头企业和国家高新技术企业，业务涵盖水产苗种繁育、健康示范养殖、水产精深加工、生鲜食品超市四大板块，集团有安徽富煌商业管理有限公司、安徽省巢湖市富煌水产开发有限公司、安徽富煌三珍农业科技有限公司、巢湖富士金进出口有限公司、美国蓝海豚公司、BRT公司、北京三珍国际贸易公司等7家子公司和1家母公司组成。</w:t>
      </w:r>
    </w:p>
    <w:p>
      <w:pPr>
        <w:ind w:firstLine="548" w:firstLineChars="196"/>
        <w:rPr>
          <w:rFonts w:hint="eastAsia" w:ascii="Helvetica" w:hAnsi="Helvetica" w:eastAsia="宋体" w:cs="宋体"/>
          <w:color w:val="000000"/>
          <w:kern w:val="0"/>
          <w:sz w:val="28"/>
          <w:szCs w:val="28"/>
          <w:lang w:val="en-US" w:eastAsia="zh-CN"/>
        </w:rPr>
      </w:pPr>
      <w:r>
        <w:rPr>
          <w:rFonts w:hint="eastAsia" w:ascii="Helvetica" w:hAnsi="Helvetica" w:eastAsia="宋体" w:cs="宋体"/>
          <w:color w:val="000000"/>
          <w:kern w:val="0"/>
          <w:sz w:val="28"/>
          <w:szCs w:val="28"/>
          <w:lang w:val="en-US" w:eastAsia="zh-CN"/>
        </w:rPr>
        <w:t>公司拥有176亩食品加工区、建筑面积20000平方米、20000立方米冷库，年加工鮰鱼1万吨、小龙虾5000吨、水产调料5000吨，拥在1410亩苗种繁育和示范养殖区和20万亩订单养殖基地，23家连锁超市，是国内淡水鱼加工的领军企业。</w:t>
      </w:r>
    </w:p>
    <w:p>
      <w:pPr>
        <w:widowControl w:val="0"/>
        <w:numPr>
          <w:ilvl w:val="0"/>
          <w:numId w:val="0"/>
        </w:numPr>
        <w:ind w:firstLine="420" w:firstLineChars="200"/>
        <w:jc w:val="both"/>
        <w:rPr>
          <w:rFonts w:hint="eastAsia"/>
          <w:bCs/>
          <w:szCs w:val="24"/>
        </w:rPr>
      </w:pPr>
    </w:p>
    <w:p>
      <w:pPr>
        <w:numPr>
          <w:ilvl w:val="0"/>
          <w:numId w:val="0"/>
        </w:numPr>
        <w:ind w:firstLine="562" w:firstLineChars="200"/>
        <w:rPr>
          <w:rFonts w:hint="eastAsia"/>
          <w:b/>
          <w:bCs/>
          <w:sz w:val="28"/>
          <w:szCs w:val="36"/>
          <w:lang w:val="en-US" w:eastAsia="zh-CN"/>
        </w:rPr>
      </w:pPr>
      <w:r>
        <w:rPr>
          <w:rFonts w:hint="eastAsia"/>
          <w:b/>
          <w:bCs/>
          <w:sz w:val="28"/>
          <w:szCs w:val="36"/>
          <w:lang w:val="en-US" w:eastAsia="zh-CN"/>
        </w:rPr>
        <w:t>公司内部组织架构图</w:t>
      </w:r>
    </w:p>
    <w:p>
      <w:pPr>
        <w:widowControl w:val="0"/>
        <w:numPr>
          <w:ilvl w:val="0"/>
          <w:numId w:val="0"/>
        </w:numPr>
        <w:ind w:firstLine="422" w:firstLineChars="200"/>
        <w:jc w:val="both"/>
        <w:rPr>
          <w:rFonts w:hint="default"/>
          <w:b/>
          <w:bCs w:val="0"/>
          <w:szCs w:val="24"/>
          <w:lang w:val="en-US" w:eastAsia="zh-CN"/>
        </w:rPr>
      </w:pPr>
      <w:r>
        <w:rPr>
          <w:rFonts w:hint="default"/>
          <w:b/>
          <w:bCs w:val="0"/>
          <w:szCs w:val="24"/>
          <w:lang w:val="en-US" w:eastAsia="zh-CN"/>
        </w:rPr>
        <w:drawing>
          <wp:inline distT="0" distB="0" distL="114300" distR="114300">
            <wp:extent cx="5271770" cy="3204210"/>
            <wp:effectExtent l="0" t="0" r="5080" b="15240"/>
            <wp:docPr id="1" name="图片 1" descr="三珍本部组织架构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三珍本部组织架构图"/>
                    <pic:cNvPicPr>
                      <a:picLocks noChangeAspect="1"/>
                    </pic:cNvPicPr>
                  </pic:nvPicPr>
                  <pic:blipFill>
                    <a:blip r:embed="rId4"/>
                    <a:stretch>
                      <a:fillRect/>
                    </a:stretch>
                  </pic:blipFill>
                  <pic:spPr>
                    <a:xfrm>
                      <a:off x="0" y="0"/>
                      <a:ext cx="5271770" cy="3204210"/>
                    </a:xfrm>
                    <a:prstGeom prst="rect">
                      <a:avLst/>
                    </a:prstGeom>
                  </pic:spPr>
                </pic:pic>
              </a:graphicData>
            </a:graphic>
          </wp:inline>
        </w:drawing>
      </w:r>
    </w:p>
    <w:p>
      <w:pPr>
        <w:widowControl w:val="0"/>
        <w:numPr>
          <w:ilvl w:val="0"/>
          <w:numId w:val="0"/>
        </w:numPr>
        <w:ind w:firstLine="422" w:firstLineChars="200"/>
        <w:jc w:val="both"/>
        <w:rPr>
          <w:rFonts w:hint="default"/>
          <w:b/>
          <w:bCs w:val="0"/>
          <w:szCs w:val="24"/>
          <w:lang w:val="en-US" w:eastAsia="zh-CN"/>
        </w:rPr>
      </w:pPr>
    </w:p>
    <w:p>
      <w:pPr>
        <w:numPr>
          <w:ilvl w:val="0"/>
          <w:numId w:val="0"/>
        </w:numPr>
        <w:ind w:firstLine="562" w:firstLineChars="200"/>
        <w:rPr>
          <w:rFonts w:hint="default"/>
          <w:b/>
          <w:bCs/>
          <w:sz w:val="28"/>
          <w:szCs w:val="36"/>
          <w:lang w:val="en-US" w:eastAsia="zh-CN"/>
        </w:rPr>
      </w:pPr>
      <w:r>
        <w:rPr>
          <w:rFonts w:hint="eastAsia"/>
          <w:b/>
          <w:bCs/>
          <w:sz w:val="28"/>
          <w:szCs w:val="36"/>
          <w:lang w:val="en-US" w:eastAsia="zh-CN"/>
        </w:rPr>
        <w:t>报告编制说明</w:t>
      </w:r>
    </w:p>
    <w:p>
      <w:pPr>
        <w:ind w:firstLine="548" w:firstLineChars="196"/>
        <w:rPr>
          <w:rFonts w:hint="default" w:ascii="Helvetica" w:hAnsi="Helvetica" w:eastAsia="宋体" w:cs="宋体"/>
          <w:color w:val="000000"/>
          <w:kern w:val="0"/>
          <w:sz w:val="28"/>
          <w:szCs w:val="28"/>
          <w:lang w:val="en-US" w:eastAsia="zh-CN"/>
        </w:rPr>
      </w:pPr>
      <w:r>
        <w:rPr>
          <w:rFonts w:hint="default" w:ascii="Helvetica" w:hAnsi="Helvetica" w:eastAsia="宋体" w:cs="宋体"/>
          <w:color w:val="000000"/>
          <w:kern w:val="0"/>
          <w:sz w:val="28"/>
          <w:szCs w:val="28"/>
          <w:lang w:val="en-US" w:eastAsia="zh-CN"/>
        </w:rPr>
        <w:t>年度环境报告是公司按照新《环境保护法》 “信息公开与公众参与 ”及《企业环境报告书编制导则》的要求，结合地方有关法律法规，在年度环境报告中持续公开环境保护信息 ，接受社会监督。</w:t>
      </w:r>
    </w:p>
    <w:p>
      <w:pPr>
        <w:ind w:firstLine="548" w:firstLineChars="196"/>
        <w:rPr>
          <w:rFonts w:hint="eastAsia" w:ascii="Helvetica" w:hAnsi="Helvetica" w:eastAsia="宋体" w:cs="宋体"/>
          <w:color w:val="000000"/>
          <w:kern w:val="0"/>
          <w:sz w:val="28"/>
          <w:szCs w:val="28"/>
          <w:lang w:val="en-US" w:eastAsia="zh-CN"/>
        </w:rPr>
      </w:pPr>
      <w:r>
        <w:rPr>
          <w:rFonts w:hint="eastAsia" w:ascii="Helvetica" w:hAnsi="Helvetica" w:eastAsia="宋体" w:cs="宋体"/>
          <w:color w:val="000000"/>
          <w:kern w:val="0"/>
          <w:sz w:val="28"/>
          <w:szCs w:val="28"/>
          <w:lang w:val="en-US" w:eastAsia="zh-CN"/>
        </w:rPr>
        <w:t>发布方式：本报告在安徽富煌三珍食品集团有限公司网站发布</w:t>
      </w:r>
    </w:p>
    <w:p>
      <w:pPr>
        <w:ind w:firstLine="548" w:firstLineChars="196"/>
        <w:rPr>
          <w:rFonts w:hint="eastAsia" w:ascii="Helvetica" w:hAnsi="Helvetica" w:eastAsia="宋体" w:cs="宋体"/>
          <w:color w:val="000000"/>
          <w:kern w:val="0"/>
          <w:sz w:val="28"/>
          <w:szCs w:val="28"/>
          <w:lang w:val="en-US" w:eastAsia="zh-CN"/>
        </w:rPr>
      </w:pPr>
      <w:r>
        <w:rPr>
          <w:rFonts w:hint="eastAsia" w:ascii="Helvetica" w:hAnsi="Helvetica" w:eastAsia="宋体" w:cs="宋体"/>
          <w:color w:val="000000"/>
          <w:kern w:val="0"/>
          <w:sz w:val="28"/>
          <w:szCs w:val="28"/>
          <w:lang w:val="en-US" w:eastAsia="zh-CN"/>
        </w:rPr>
        <w:t>编辑部门：安徽富煌三珍食品集团有限公司安环部</w:t>
      </w:r>
      <w:bookmarkStart w:id="0" w:name="_GoBack"/>
      <w:bookmarkEnd w:id="0"/>
    </w:p>
    <w:p>
      <w:pPr>
        <w:ind w:firstLine="548" w:firstLineChars="196"/>
        <w:rPr>
          <w:rFonts w:hint="default" w:ascii="Helvetica" w:hAnsi="Helvetica" w:eastAsia="宋体" w:cs="宋体"/>
          <w:color w:val="000000"/>
          <w:kern w:val="0"/>
          <w:sz w:val="28"/>
          <w:szCs w:val="28"/>
          <w:lang w:val="en-US" w:eastAsia="zh-CN"/>
        </w:rPr>
      </w:pPr>
      <w:r>
        <w:rPr>
          <w:rFonts w:hint="eastAsia" w:ascii="Helvetica" w:hAnsi="Helvetica" w:eastAsia="宋体" w:cs="宋体"/>
          <w:color w:val="000000"/>
          <w:kern w:val="0"/>
          <w:sz w:val="28"/>
          <w:szCs w:val="28"/>
          <w:lang w:val="en-US" w:eastAsia="zh-CN"/>
        </w:rPr>
        <w:t>联系电话：0551-88560199</w:t>
      </w:r>
    </w:p>
    <w:p>
      <w:pPr>
        <w:widowControl w:val="0"/>
        <w:numPr>
          <w:ilvl w:val="0"/>
          <w:numId w:val="0"/>
        </w:numPr>
        <w:ind w:firstLine="422" w:firstLineChars="200"/>
        <w:jc w:val="both"/>
        <w:rPr>
          <w:rFonts w:hint="default"/>
          <w:b/>
          <w:bCs w:val="0"/>
          <w:szCs w:val="24"/>
          <w:lang w:val="en-US" w:eastAsia="zh-CN"/>
        </w:rPr>
      </w:pPr>
    </w:p>
    <w:p>
      <w:pPr>
        <w:numPr>
          <w:ilvl w:val="0"/>
          <w:numId w:val="0"/>
        </w:numPr>
        <w:rPr>
          <w:rFonts w:hint="default"/>
          <w:b/>
          <w:bCs/>
          <w:sz w:val="28"/>
          <w:szCs w:val="36"/>
          <w:lang w:val="en-US" w:eastAsia="zh-CN"/>
        </w:rPr>
      </w:pPr>
      <w:r>
        <w:rPr>
          <w:rFonts w:hint="eastAsia"/>
          <w:b/>
          <w:bCs/>
          <w:sz w:val="28"/>
          <w:szCs w:val="36"/>
          <w:lang w:val="en-US" w:eastAsia="zh-CN"/>
        </w:rPr>
        <w:t>三、环保管理情况</w:t>
      </w:r>
    </w:p>
    <w:p>
      <w:pPr>
        <w:ind w:firstLine="548" w:firstLineChars="196"/>
        <w:rPr>
          <w:rFonts w:ascii="Helvetica" w:hAnsi="Helvetica" w:eastAsia="宋体" w:cs="宋体"/>
          <w:color w:val="000000"/>
          <w:kern w:val="0"/>
          <w:sz w:val="28"/>
          <w:szCs w:val="28"/>
        </w:rPr>
      </w:pPr>
      <w:r>
        <w:rPr>
          <w:rFonts w:hint="eastAsia" w:ascii="Helvetica" w:hAnsi="Helvetica" w:eastAsia="宋体" w:cs="宋体"/>
          <w:color w:val="000000"/>
          <w:kern w:val="0"/>
          <w:sz w:val="28"/>
          <w:szCs w:val="28"/>
        </w:rPr>
        <w:t>本企业环保工作的责任主体为品管部，监管部门为安环部</w:t>
      </w:r>
      <w:r>
        <w:rPr>
          <w:rFonts w:ascii="Helvetica" w:hAnsi="Helvetica" w:eastAsia="宋体" w:cs="宋体"/>
          <w:color w:val="000000"/>
          <w:kern w:val="0"/>
          <w:sz w:val="28"/>
          <w:szCs w:val="28"/>
        </w:rPr>
        <w:t>,改善企业环境状况,减少企业对周围环境的污染,并协调企业与政府环保部门的工作。</w:t>
      </w:r>
    </w:p>
    <w:p>
      <w:pPr>
        <w:ind w:firstLine="548" w:firstLineChars="196"/>
        <w:rPr>
          <w:rFonts w:hint="eastAsia" w:ascii="Helvetica" w:hAnsi="Helvetica" w:eastAsia="宋体" w:cs="宋体"/>
          <w:color w:val="000000"/>
          <w:kern w:val="0"/>
          <w:sz w:val="28"/>
          <w:szCs w:val="28"/>
        </w:rPr>
      </w:pPr>
      <w:r>
        <w:rPr>
          <w:rFonts w:ascii="Helvetica" w:hAnsi="Helvetica" w:eastAsia="宋体" w:cs="宋体"/>
          <w:color w:val="000000"/>
          <w:kern w:val="0"/>
          <w:sz w:val="28"/>
          <w:szCs w:val="28"/>
        </w:rPr>
        <w:t>组织建立企业环境保护管理团队,由企业领导和</w:t>
      </w:r>
      <w:r>
        <w:rPr>
          <w:rFonts w:hint="eastAsia" w:ascii="Helvetica" w:hAnsi="Helvetica" w:eastAsia="宋体" w:cs="宋体"/>
          <w:color w:val="000000"/>
          <w:kern w:val="0"/>
          <w:sz w:val="28"/>
          <w:szCs w:val="28"/>
        </w:rPr>
        <w:t>安环部</w:t>
      </w:r>
      <w:r>
        <w:rPr>
          <w:rFonts w:ascii="Helvetica" w:hAnsi="Helvetica" w:eastAsia="宋体" w:cs="宋体"/>
          <w:color w:val="000000"/>
          <w:kern w:val="0"/>
          <w:sz w:val="28"/>
          <w:szCs w:val="28"/>
        </w:rPr>
        <w:t>组成,共同搞好本企业的环境保护工作</w:t>
      </w:r>
      <w:r>
        <w:rPr>
          <w:rFonts w:hint="eastAsia" w:ascii="Helvetica" w:hAnsi="Helvetica" w:eastAsia="宋体" w:cs="宋体"/>
          <w:color w:val="000000"/>
          <w:kern w:val="0"/>
          <w:sz w:val="28"/>
          <w:szCs w:val="28"/>
        </w:rPr>
        <w:t>。</w:t>
      </w:r>
    </w:p>
    <w:p>
      <w:pPr>
        <w:ind w:firstLine="548" w:firstLineChars="196"/>
        <w:rPr>
          <w:rFonts w:ascii="Helvetica" w:hAnsi="Helvetica" w:eastAsia="宋体" w:cs="宋体"/>
          <w:color w:val="000000"/>
          <w:kern w:val="0"/>
          <w:sz w:val="28"/>
          <w:szCs w:val="28"/>
        </w:rPr>
      </w:pPr>
      <w:r>
        <w:rPr>
          <w:rFonts w:ascii="Helvetica" w:hAnsi="Helvetica" w:eastAsia="宋体" w:cs="宋体"/>
          <w:color w:val="000000"/>
          <w:kern w:val="0"/>
          <w:sz w:val="28"/>
          <w:szCs w:val="28"/>
        </w:rPr>
        <w:t>企业环境保护机构配备</w:t>
      </w:r>
      <w:r>
        <w:rPr>
          <w:rFonts w:hint="eastAsia" w:ascii="Helvetica" w:hAnsi="Helvetica" w:eastAsia="宋体" w:cs="宋体"/>
          <w:color w:val="000000"/>
          <w:kern w:val="0"/>
          <w:sz w:val="28"/>
          <w:szCs w:val="28"/>
        </w:rPr>
        <w:t>环保</w:t>
      </w:r>
      <w:r>
        <w:rPr>
          <w:rFonts w:ascii="Helvetica" w:hAnsi="Helvetica" w:eastAsia="宋体" w:cs="宋体"/>
          <w:color w:val="000000"/>
          <w:kern w:val="0"/>
          <w:sz w:val="28"/>
          <w:szCs w:val="28"/>
        </w:rPr>
        <w:t>人员,并制定若</w:t>
      </w:r>
      <w:r>
        <w:rPr>
          <w:rFonts w:hint="eastAsia" w:ascii="Helvetica" w:hAnsi="Helvetica" w:eastAsia="宋体" w:cs="宋体"/>
          <w:color w:val="000000"/>
          <w:kern w:val="0"/>
          <w:sz w:val="28"/>
          <w:szCs w:val="28"/>
        </w:rPr>
        <w:t>干</w:t>
      </w:r>
      <w:r>
        <w:rPr>
          <w:rFonts w:ascii="Helvetica" w:hAnsi="Helvetica" w:eastAsia="宋体" w:cs="宋体"/>
          <w:color w:val="000000"/>
          <w:kern w:val="0"/>
          <w:sz w:val="28"/>
          <w:szCs w:val="28"/>
        </w:rPr>
        <w:t>名</w:t>
      </w:r>
      <w:r>
        <w:rPr>
          <w:rFonts w:hint="eastAsia" w:ascii="Helvetica" w:hAnsi="Helvetica" w:eastAsia="宋体" w:cs="宋体"/>
          <w:color w:val="000000"/>
          <w:kern w:val="0"/>
          <w:sz w:val="28"/>
          <w:szCs w:val="28"/>
        </w:rPr>
        <w:t>兼</w:t>
      </w:r>
      <w:r>
        <w:rPr>
          <w:rFonts w:ascii="Helvetica" w:hAnsi="Helvetica" w:eastAsia="宋体" w:cs="宋体"/>
          <w:color w:val="000000"/>
          <w:kern w:val="0"/>
          <w:sz w:val="28"/>
          <w:szCs w:val="28"/>
        </w:rPr>
        <w:t>职环保员,协助领导工作。环保机构只能加强,不能削弱。</w:t>
      </w:r>
    </w:p>
    <w:p>
      <w:pPr>
        <w:numPr>
          <w:ilvl w:val="0"/>
          <w:numId w:val="2"/>
        </w:numPr>
        <w:rPr>
          <w:rFonts w:hint="eastAsia"/>
          <w:b/>
          <w:bCs/>
          <w:sz w:val="28"/>
          <w:szCs w:val="36"/>
          <w:lang w:val="en-US" w:eastAsia="zh-CN"/>
        </w:rPr>
      </w:pPr>
      <w:r>
        <w:rPr>
          <w:rFonts w:hint="eastAsia"/>
          <w:b/>
          <w:bCs/>
          <w:sz w:val="28"/>
          <w:szCs w:val="36"/>
          <w:lang w:val="en-US" w:eastAsia="zh-CN"/>
        </w:rPr>
        <w:t>环保目标</w:t>
      </w:r>
    </w:p>
    <w:p>
      <w:pPr>
        <w:ind w:firstLine="548" w:firstLineChars="196"/>
        <w:rPr>
          <w:rFonts w:ascii="Helvetica" w:hAnsi="Helvetica" w:eastAsia="宋体" w:cs="宋体"/>
          <w:color w:val="000000"/>
          <w:kern w:val="0"/>
          <w:sz w:val="28"/>
          <w:szCs w:val="28"/>
        </w:rPr>
      </w:pPr>
      <w:r>
        <w:rPr>
          <w:rFonts w:ascii="Helvetica" w:hAnsi="Helvetica" w:eastAsia="宋体" w:cs="宋体"/>
          <w:color w:val="000000"/>
          <w:kern w:val="0"/>
          <w:sz w:val="28"/>
          <w:szCs w:val="28"/>
        </w:rPr>
        <w:t>保护环境人人有责。企业员工、领导都要认真、自觉学习遵守环境保护法律法规及有关规定,正确看待和处理生产与保护环境之间的关系,坚持预防为主、防治结合的方针,提倡车间清洁生产、循环利用从源头上尽量消灭污染物,并认真执行“谁污染、谁治理”的原则。</w:t>
      </w:r>
    </w:p>
    <w:p>
      <w:pPr>
        <w:numPr>
          <w:ilvl w:val="0"/>
          <w:numId w:val="0"/>
        </w:numPr>
        <w:rPr>
          <w:rFonts w:hint="default" w:ascii="Helvetica" w:hAnsi="Helvetica" w:eastAsia="宋体" w:cs="宋体"/>
          <w:color w:val="000000"/>
          <w:kern w:val="0"/>
          <w:sz w:val="28"/>
          <w:szCs w:val="28"/>
          <w:lang w:val="en-US" w:eastAsia="zh-CN"/>
        </w:rPr>
      </w:pPr>
      <w:r>
        <w:rPr>
          <w:rFonts w:hint="eastAsia" w:ascii="Helvetica" w:hAnsi="Helvetica" w:eastAsia="宋体" w:cs="宋体"/>
          <w:color w:val="000000"/>
          <w:kern w:val="0"/>
          <w:sz w:val="28"/>
          <w:szCs w:val="28"/>
          <w:lang w:val="en-US" w:eastAsia="zh-CN"/>
        </w:rPr>
        <w:t>（1）污染物达标排放情况，重点污染物监测</w:t>
      </w:r>
    </w:p>
    <w:p>
      <w:pPr>
        <w:spacing w:line="560" w:lineRule="exact"/>
        <w:ind w:firstLine="560" w:firstLineChars="200"/>
        <w:rPr>
          <w:rFonts w:hint="eastAsia" w:ascii="宋体" w:hAnsi="宋体" w:cs="仿宋"/>
          <w:color w:val="0000FF"/>
          <w:sz w:val="28"/>
          <w:szCs w:val="28"/>
        </w:rPr>
      </w:pPr>
      <w:r>
        <w:rPr>
          <w:rFonts w:hint="eastAsia" w:ascii="宋体" w:hAnsi="宋体" w:cs="仿宋"/>
          <w:color w:val="000000"/>
          <w:sz w:val="28"/>
          <w:szCs w:val="28"/>
        </w:rPr>
        <w:t>1、按照“雨污分流,分类收集处理”的原则,设计建设全厂排水系统,雨水排入园区雨水管网,生产废水、生活污水经污水管网收集后排入厂区污水处厂处理达标后</w:t>
      </w:r>
      <w:r>
        <w:rPr>
          <w:rFonts w:hint="eastAsia" w:ascii="宋体" w:hAnsi="宋体" w:cs="仿宋"/>
          <w:color w:val="000000"/>
          <w:sz w:val="28"/>
          <w:szCs w:val="28"/>
          <w:lang w:eastAsia="zh-CN"/>
        </w:rPr>
        <w:t>由一个排污口（编号：</w:t>
      </w:r>
      <w:r>
        <w:rPr>
          <w:rFonts w:hint="eastAsia" w:ascii="宋体" w:hAnsi="宋体"/>
          <w:sz w:val="24"/>
          <w:szCs w:val="28"/>
        </w:rPr>
        <w:t>WS-00014</w:t>
      </w:r>
      <w:r>
        <w:rPr>
          <w:rFonts w:hint="eastAsia" w:ascii="宋体" w:hAnsi="宋体" w:cs="仿宋"/>
          <w:color w:val="000000"/>
          <w:sz w:val="28"/>
          <w:szCs w:val="28"/>
          <w:lang w:eastAsia="zh-CN"/>
        </w:rPr>
        <w:t>）</w:t>
      </w:r>
      <w:r>
        <w:rPr>
          <w:rFonts w:hint="eastAsia" w:ascii="宋体" w:hAnsi="宋体" w:cs="仿宋"/>
          <w:color w:val="000000"/>
          <w:sz w:val="28"/>
          <w:szCs w:val="28"/>
        </w:rPr>
        <w:t>排入黄麓镇污水处理厂,污水排放执行《污水综合排放标准》(GB8978-1996)中一级标准,安装在线监测。</w:t>
      </w:r>
    </w:p>
    <w:p>
      <w:pPr>
        <w:spacing w:line="560" w:lineRule="exact"/>
        <w:ind w:firstLine="560" w:firstLineChars="200"/>
        <w:rPr>
          <w:rFonts w:hint="eastAsia" w:ascii="宋体" w:hAnsi="宋体" w:cs="仿宋"/>
          <w:color w:val="0000FF"/>
          <w:sz w:val="28"/>
          <w:szCs w:val="28"/>
        </w:rPr>
      </w:pPr>
      <w:r>
        <w:rPr>
          <w:rFonts w:hint="eastAsia" w:ascii="宋体" w:hAnsi="宋体" w:cs="仿宋"/>
          <w:color w:val="000000"/>
          <w:sz w:val="28"/>
          <w:szCs w:val="28"/>
        </w:rPr>
        <w:t>2、本公司使用天然气锅炉，废气排放符合《锅炉大气污染物排放标准》(GB13271-2001)中二类区Ⅱ时段标准。</w:t>
      </w:r>
    </w:p>
    <w:p>
      <w:pPr>
        <w:spacing w:line="560" w:lineRule="exact"/>
        <w:ind w:firstLine="560" w:firstLineChars="200"/>
        <w:rPr>
          <w:rFonts w:hint="eastAsia" w:ascii="宋体" w:hAnsi="宋体" w:cs="仿宋"/>
          <w:color w:val="0000FF"/>
          <w:sz w:val="28"/>
          <w:szCs w:val="28"/>
        </w:rPr>
      </w:pPr>
      <w:r>
        <w:rPr>
          <w:rFonts w:hint="eastAsia" w:ascii="宋体" w:hAnsi="宋体" w:cs="仿宋"/>
          <w:color w:val="000000"/>
          <w:sz w:val="28"/>
          <w:szCs w:val="28"/>
        </w:rPr>
        <w:t>3、选用低噪声设备,优化设计,合理布局高噪声生产设备,采取有效的减振、隔声等降噪措施,确保厂界噪声满足《工厂企业厂界噪声排放标准》(GB12348-2008)2类标准。</w:t>
      </w:r>
    </w:p>
    <w:p>
      <w:pPr>
        <w:spacing w:line="560" w:lineRule="exact"/>
        <w:ind w:firstLine="560" w:firstLineChars="200"/>
        <w:rPr>
          <w:rFonts w:hint="eastAsia" w:ascii="宋体" w:hAnsi="宋体" w:cs="仿宋"/>
          <w:color w:val="000000"/>
          <w:sz w:val="28"/>
          <w:szCs w:val="28"/>
        </w:rPr>
      </w:pPr>
      <w:r>
        <w:rPr>
          <w:rFonts w:hint="eastAsia" w:ascii="宋体" w:hAnsi="宋体" w:cs="仿宋"/>
          <w:color w:val="000000"/>
          <w:sz w:val="28"/>
          <w:szCs w:val="28"/>
        </w:rPr>
        <w:t>4、雨水排入园区雨水管道网，生产生活废水收集后排入厂区污水处理站，处理达标后由一个排放口排放至黄麓镇污水处理厂。</w:t>
      </w:r>
    </w:p>
    <w:p>
      <w:pPr>
        <w:spacing w:line="560" w:lineRule="exact"/>
        <w:ind w:firstLine="560" w:firstLineChars="200"/>
        <w:rPr>
          <w:rFonts w:hint="eastAsia" w:ascii="宋体" w:hAnsi="宋体" w:cs="仿宋"/>
          <w:color w:val="000000"/>
          <w:sz w:val="28"/>
          <w:szCs w:val="28"/>
        </w:rPr>
      </w:pPr>
      <w:r>
        <w:rPr>
          <w:rFonts w:hint="eastAsia" w:ascii="宋体" w:hAnsi="宋体" w:cs="仿宋"/>
          <w:color w:val="000000"/>
          <w:sz w:val="28"/>
          <w:szCs w:val="28"/>
        </w:rPr>
        <w:t>为履行企业自行监测的职责拟采取的污染物（废水）自行监测手段及开展方式：与安徽省碧水电子技术有限公司签订合同，由其负责（COD）自动检测设备、PH计分析仪的安装，维护和运营情况。自动检测设备已与环保主管部门联网并且已验收。手动检测方面由本公司参建的水生动物防疫站检测，检测的项目有氨氮、总磷。</w:t>
      </w:r>
    </w:p>
    <w:p>
      <w:pPr>
        <w:numPr>
          <w:ilvl w:val="0"/>
          <w:numId w:val="3"/>
        </w:numPr>
        <w:spacing w:line="560" w:lineRule="exact"/>
        <w:ind w:firstLine="560" w:firstLineChars="200"/>
        <w:rPr>
          <w:rFonts w:hint="default" w:ascii="宋体" w:hAnsi="宋体" w:cs="仿宋"/>
          <w:color w:val="000000"/>
          <w:sz w:val="28"/>
          <w:szCs w:val="28"/>
          <w:lang w:val="en-US" w:eastAsia="zh-CN"/>
        </w:rPr>
      </w:pPr>
      <w:r>
        <w:rPr>
          <w:rFonts w:hint="eastAsia" w:ascii="宋体" w:hAnsi="宋体" w:cs="仿宋"/>
          <w:color w:val="000000"/>
          <w:sz w:val="28"/>
          <w:szCs w:val="28"/>
          <w:lang w:eastAsia="zh-CN"/>
        </w:rPr>
        <w:t>固体废物处置情况</w:t>
      </w:r>
    </w:p>
    <w:tbl>
      <w:tblPr>
        <w:tblStyle w:val="5"/>
        <w:tblpPr w:leftFromText="180" w:rightFromText="180" w:vertAnchor="text" w:horzAnchor="page" w:tblpX="1667" w:tblpY="392"/>
        <w:tblOverlap w:val="never"/>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696"/>
        <w:gridCol w:w="1417"/>
        <w:gridCol w:w="1842"/>
        <w:gridCol w:w="1418"/>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tcBorders>
              <w:top w:val="double" w:color="auto" w:sz="4" w:space="0"/>
              <w:left w:val="dotted" w:color="auto" w:sz="4" w:space="0"/>
            </w:tcBorders>
            <w:noWrap w:val="0"/>
            <w:vAlign w:val="center"/>
          </w:tcPr>
          <w:p>
            <w:pPr>
              <w:spacing w:line="240" w:lineRule="auto"/>
              <w:jc w:val="center"/>
              <w:rPr>
                <w:rFonts w:hint="eastAsia" w:ascii="仿宋" w:hAnsi="仿宋" w:eastAsia="仿宋" w:cs="仿宋"/>
                <w:kern w:val="0"/>
                <w:szCs w:val="21"/>
              </w:rPr>
            </w:pPr>
            <w:r>
              <w:rPr>
                <w:rFonts w:hint="eastAsia" w:ascii="仿宋" w:hAnsi="仿宋" w:eastAsia="仿宋" w:cs="仿宋"/>
                <w:kern w:val="0"/>
                <w:szCs w:val="21"/>
              </w:rPr>
              <w:t>项目</w:t>
            </w:r>
          </w:p>
        </w:tc>
        <w:tc>
          <w:tcPr>
            <w:tcW w:w="696" w:type="dxa"/>
            <w:tcBorders>
              <w:top w:val="double" w:color="auto" w:sz="4" w:space="0"/>
            </w:tcBorders>
            <w:noWrap w:val="0"/>
            <w:vAlign w:val="center"/>
          </w:tcPr>
          <w:p>
            <w:pPr>
              <w:spacing w:line="240" w:lineRule="auto"/>
              <w:jc w:val="center"/>
              <w:rPr>
                <w:rFonts w:hint="eastAsia" w:ascii="仿宋" w:hAnsi="仿宋" w:eastAsia="仿宋" w:cs="仿宋"/>
                <w:kern w:val="0"/>
                <w:szCs w:val="21"/>
              </w:rPr>
            </w:pPr>
            <w:r>
              <w:rPr>
                <w:rFonts w:hint="eastAsia" w:ascii="仿宋" w:hAnsi="仿宋" w:eastAsia="仿宋" w:cs="仿宋"/>
                <w:kern w:val="0"/>
                <w:szCs w:val="21"/>
              </w:rPr>
              <w:t>类型</w:t>
            </w:r>
          </w:p>
        </w:tc>
        <w:tc>
          <w:tcPr>
            <w:tcW w:w="1417" w:type="dxa"/>
            <w:tcBorders>
              <w:top w:val="double" w:color="auto" w:sz="4" w:space="0"/>
            </w:tcBorders>
            <w:noWrap w:val="0"/>
            <w:vAlign w:val="center"/>
          </w:tcPr>
          <w:p>
            <w:pPr>
              <w:spacing w:line="240" w:lineRule="auto"/>
              <w:jc w:val="center"/>
              <w:rPr>
                <w:rFonts w:hint="eastAsia" w:ascii="仿宋" w:hAnsi="仿宋" w:eastAsia="仿宋" w:cs="仿宋"/>
                <w:kern w:val="0"/>
                <w:szCs w:val="21"/>
              </w:rPr>
            </w:pPr>
            <w:r>
              <w:rPr>
                <w:rFonts w:hint="eastAsia" w:ascii="仿宋" w:hAnsi="仿宋" w:eastAsia="仿宋" w:cs="仿宋"/>
                <w:kern w:val="0"/>
                <w:szCs w:val="21"/>
              </w:rPr>
              <w:t>产生数量（t）</w:t>
            </w:r>
          </w:p>
        </w:tc>
        <w:tc>
          <w:tcPr>
            <w:tcW w:w="1842" w:type="dxa"/>
            <w:tcBorders>
              <w:top w:val="double" w:color="auto" w:sz="4" w:space="0"/>
            </w:tcBorders>
            <w:noWrap w:val="0"/>
            <w:vAlign w:val="center"/>
          </w:tcPr>
          <w:p>
            <w:pPr>
              <w:spacing w:line="240" w:lineRule="auto"/>
              <w:jc w:val="center"/>
              <w:rPr>
                <w:rFonts w:hint="eastAsia" w:ascii="仿宋" w:hAnsi="仿宋" w:eastAsia="仿宋" w:cs="仿宋"/>
                <w:kern w:val="0"/>
                <w:szCs w:val="21"/>
              </w:rPr>
            </w:pPr>
            <w:r>
              <w:rPr>
                <w:rFonts w:hint="eastAsia" w:ascii="仿宋" w:hAnsi="仿宋" w:eastAsia="仿宋" w:cs="仿宋"/>
                <w:kern w:val="0"/>
                <w:szCs w:val="21"/>
              </w:rPr>
              <w:t>处置方式</w:t>
            </w:r>
          </w:p>
        </w:tc>
        <w:tc>
          <w:tcPr>
            <w:tcW w:w="1418" w:type="dxa"/>
            <w:tcBorders>
              <w:top w:val="double" w:color="auto" w:sz="4" w:space="0"/>
            </w:tcBorders>
            <w:noWrap w:val="0"/>
            <w:vAlign w:val="center"/>
          </w:tcPr>
          <w:p>
            <w:pPr>
              <w:spacing w:line="240" w:lineRule="auto"/>
              <w:jc w:val="center"/>
              <w:rPr>
                <w:rFonts w:hint="eastAsia" w:ascii="仿宋" w:hAnsi="仿宋" w:eastAsia="仿宋" w:cs="仿宋"/>
                <w:kern w:val="0"/>
                <w:szCs w:val="21"/>
              </w:rPr>
            </w:pPr>
            <w:r>
              <w:rPr>
                <w:rFonts w:hint="eastAsia" w:ascii="仿宋" w:hAnsi="仿宋" w:eastAsia="仿宋" w:cs="仿宋"/>
                <w:kern w:val="0"/>
                <w:szCs w:val="21"/>
              </w:rPr>
              <w:t>处置数量(t)</w:t>
            </w:r>
          </w:p>
        </w:tc>
        <w:tc>
          <w:tcPr>
            <w:tcW w:w="2727" w:type="dxa"/>
            <w:tcBorders>
              <w:top w:val="double" w:color="auto" w:sz="4" w:space="0"/>
              <w:right w:val="dotted" w:color="auto" w:sz="4" w:space="0"/>
            </w:tcBorders>
            <w:noWrap w:val="0"/>
            <w:vAlign w:val="center"/>
          </w:tcPr>
          <w:p>
            <w:pPr>
              <w:spacing w:line="240" w:lineRule="auto"/>
              <w:jc w:val="center"/>
              <w:rPr>
                <w:rFonts w:hint="eastAsia" w:ascii="仿宋" w:hAnsi="仿宋" w:eastAsia="仿宋" w:cs="仿宋"/>
                <w:kern w:val="0"/>
                <w:szCs w:val="21"/>
              </w:rPr>
            </w:pPr>
            <w:r>
              <w:rPr>
                <w:rFonts w:hint="eastAsia" w:ascii="仿宋" w:hAnsi="仿宋" w:eastAsia="仿宋" w:cs="仿宋"/>
                <w:kern w:val="0"/>
                <w:szCs w:val="21"/>
              </w:rPr>
              <w:t>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trPr>
        <w:tc>
          <w:tcPr>
            <w:tcW w:w="1140" w:type="dxa"/>
            <w:tcBorders>
              <w:left w:val="dotted" w:color="auto" w:sz="4" w:space="0"/>
            </w:tcBorders>
            <w:noWrap w:val="0"/>
            <w:vAlign w:val="center"/>
          </w:tcPr>
          <w:p>
            <w:pPr>
              <w:spacing w:line="240" w:lineRule="auto"/>
              <w:jc w:val="center"/>
              <w:rPr>
                <w:rFonts w:hint="eastAsia" w:ascii="仿宋" w:hAnsi="仿宋" w:eastAsia="仿宋" w:cs="仿宋"/>
                <w:kern w:val="0"/>
                <w:szCs w:val="21"/>
                <w:lang w:eastAsia="zh-CN"/>
              </w:rPr>
            </w:pPr>
            <w:r>
              <w:rPr>
                <w:rFonts w:hint="eastAsia" w:ascii="仿宋" w:hAnsi="仿宋" w:eastAsia="仿宋" w:cs="仿宋"/>
                <w:kern w:val="0"/>
                <w:szCs w:val="21"/>
                <w:lang w:eastAsia="zh-CN"/>
              </w:rPr>
              <w:t>生活垃圾</w:t>
            </w:r>
          </w:p>
        </w:tc>
        <w:tc>
          <w:tcPr>
            <w:tcW w:w="696" w:type="dxa"/>
            <w:noWrap w:val="0"/>
            <w:vAlign w:val="center"/>
          </w:tcPr>
          <w:p>
            <w:pPr>
              <w:spacing w:line="240" w:lineRule="auto"/>
              <w:jc w:val="center"/>
              <w:rPr>
                <w:rFonts w:hint="eastAsia" w:ascii="仿宋" w:hAnsi="仿宋" w:eastAsia="仿宋" w:cs="仿宋"/>
                <w:kern w:val="0"/>
                <w:szCs w:val="21"/>
                <w:lang w:eastAsia="zh-CN"/>
              </w:rPr>
            </w:pPr>
            <w:r>
              <w:rPr>
                <w:rFonts w:hint="eastAsia" w:ascii="仿宋" w:hAnsi="仿宋" w:eastAsia="仿宋" w:cs="仿宋"/>
                <w:kern w:val="0"/>
                <w:szCs w:val="21"/>
                <w:lang w:eastAsia="zh-CN"/>
              </w:rPr>
              <w:t>固体</w:t>
            </w:r>
          </w:p>
        </w:tc>
        <w:tc>
          <w:tcPr>
            <w:tcW w:w="1417" w:type="dxa"/>
            <w:noWrap w:val="0"/>
            <w:vAlign w:val="center"/>
          </w:tcPr>
          <w:p>
            <w:pPr>
              <w:spacing w:line="240" w:lineRule="auto"/>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21</w:t>
            </w:r>
          </w:p>
        </w:tc>
        <w:tc>
          <w:tcPr>
            <w:tcW w:w="1842" w:type="dxa"/>
            <w:noWrap w:val="0"/>
            <w:vAlign w:val="center"/>
          </w:tcPr>
          <w:p>
            <w:pPr>
              <w:spacing w:line="240" w:lineRule="auto"/>
              <w:jc w:val="center"/>
              <w:rPr>
                <w:rFonts w:hint="eastAsia" w:ascii="仿宋" w:hAnsi="仿宋" w:eastAsia="仿宋" w:cs="仿宋"/>
                <w:kern w:val="0"/>
                <w:szCs w:val="21"/>
                <w:lang w:eastAsia="zh-CN"/>
              </w:rPr>
            </w:pPr>
            <w:r>
              <w:rPr>
                <w:rFonts w:hint="eastAsia" w:ascii="仿宋" w:hAnsi="仿宋" w:eastAsia="仿宋" w:cs="仿宋"/>
                <w:kern w:val="0"/>
                <w:szCs w:val="21"/>
                <w:lang w:eastAsia="zh-CN"/>
              </w:rPr>
              <w:t>第三方回收</w:t>
            </w:r>
          </w:p>
        </w:tc>
        <w:tc>
          <w:tcPr>
            <w:tcW w:w="1418" w:type="dxa"/>
            <w:noWrap w:val="0"/>
            <w:vAlign w:val="center"/>
          </w:tcPr>
          <w:p>
            <w:pPr>
              <w:spacing w:line="240" w:lineRule="auto"/>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21</w:t>
            </w:r>
          </w:p>
        </w:tc>
        <w:tc>
          <w:tcPr>
            <w:tcW w:w="2727" w:type="dxa"/>
            <w:tcBorders>
              <w:right w:val="dotted" w:color="auto" w:sz="4" w:space="0"/>
            </w:tcBorders>
            <w:noWrap w:val="0"/>
            <w:vAlign w:val="center"/>
          </w:tcPr>
          <w:p>
            <w:pPr>
              <w:spacing w:line="240" w:lineRule="auto"/>
              <w:jc w:val="center"/>
              <w:rPr>
                <w:rFonts w:hint="eastAsia" w:ascii="仿宋" w:hAnsi="仿宋" w:eastAsia="仿宋" w:cs="仿宋"/>
                <w:kern w:val="0"/>
                <w:szCs w:val="21"/>
                <w:lang w:eastAsia="zh-CN"/>
              </w:rPr>
            </w:pPr>
            <w:r>
              <w:rPr>
                <w:rFonts w:hint="eastAsia" w:ascii="仿宋" w:hAnsi="仿宋" w:eastAsia="仿宋" w:cs="仿宋"/>
                <w:kern w:val="0"/>
                <w:szCs w:val="21"/>
              </w:rPr>
              <w:t>合肥</w:t>
            </w:r>
            <w:r>
              <w:rPr>
                <w:rFonts w:hint="eastAsia" w:ascii="仿宋" w:hAnsi="仿宋" w:eastAsia="仿宋" w:cs="仿宋"/>
                <w:kern w:val="0"/>
                <w:szCs w:val="21"/>
                <w:lang w:eastAsia="zh-CN"/>
              </w:rPr>
              <w:t>华兴物业管理有限公司巢湖分公司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140" w:type="dxa"/>
            <w:tcBorders>
              <w:left w:val="dotted" w:color="auto" w:sz="4" w:space="0"/>
              <w:bottom w:val="double" w:color="auto" w:sz="4" w:space="0"/>
            </w:tcBorders>
            <w:noWrap w:val="0"/>
            <w:vAlign w:val="center"/>
          </w:tcPr>
          <w:p>
            <w:pPr>
              <w:spacing w:line="240" w:lineRule="auto"/>
              <w:jc w:val="center"/>
              <w:rPr>
                <w:rFonts w:hint="eastAsia" w:ascii="仿宋" w:hAnsi="仿宋" w:eastAsia="仿宋" w:cs="仿宋"/>
                <w:kern w:val="0"/>
                <w:szCs w:val="21"/>
              </w:rPr>
            </w:pPr>
            <w:r>
              <w:rPr>
                <w:rFonts w:hint="eastAsia" w:ascii="仿宋" w:hAnsi="仿宋" w:eastAsia="仿宋" w:cs="仿宋"/>
                <w:kern w:val="0"/>
                <w:szCs w:val="21"/>
                <w:lang w:eastAsia="zh-CN"/>
              </w:rPr>
              <w:t>废油脂</w:t>
            </w:r>
          </w:p>
        </w:tc>
        <w:tc>
          <w:tcPr>
            <w:tcW w:w="696" w:type="dxa"/>
            <w:tcBorders>
              <w:bottom w:val="double" w:color="auto" w:sz="4" w:space="0"/>
            </w:tcBorders>
            <w:noWrap w:val="0"/>
            <w:vAlign w:val="center"/>
          </w:tcPr>
          <w:p>
            <w:pPr>
              <w:spacing w:line="240" w:lineRule="auto"/>
              <w:jc w:val="center"/>
              <w:rPr>
                <w:rFonts w:hint="eastAsia" w:ascii="仿宋" w:hAnsi="仿宋" w:eastAsia="仿宋" w:cs="仿宋"/>
                <w:kern w:val="0"/>
                <w:szCs w:val="21"/>
              </w:rPr>
            </w:pPr>
            <w:r>
              <w:rPr>
                <w:rFonts w:hint="eastAsia" w:ascii="仿宋" w:hAnsi="仿宋" w:eastAsia="仿宋" w:cs="仿宋"/>
                <w:kern w:val="0"/>
                <w:szCs w:val="21"/>
                <w:lang w:eastAsia="zh-CN"/>
              </w:rPr>
              <w:t>固体</w:t>
            </w:r>
          </w:p>
        </w:tc>
        <w:tc>
          <w:tcPr>
            <w:tcW w:w="1417" w:type="dxa"/>
            <w:tcBorders>
              <w:bottom w:val="double" w:color="auto" w:sz="4" w:space="0"/>
            </w:tcBorders>
            <w:noWrap w:val="0"/>
            <w:vAlign w:val="center"/>
          </w:tcPr>
          <w:p>
            <w:pPr>
              <w:spacing w:line="240" w:lineRule="auto"/>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10</w:t>
            </w:r>
          </w:p>
        </w:tc>
        <w:tc>
          <w:tcPr>
            <w:tcW w:w="1842" w:type="dxa"/>
            <w:tcBorders>
              <w:bottom w:val="double" w:color="auto" w:sz="4" w:space="0"/>
            </w:tcBorders>
            <w:noWrap w:val="0"/>
            <w:vAlign w:val="center"/>
          </w:tcPr>
          <w:p>
            <w:pPr>
              <w:spacing w:line="240" w:lineRule="auto"/>
              <w:jc w:val="center"/>
              <w:rPr>
                <w:rFonts w:hint="eastAsia" w:ascii="仿宋" w:hAnsi="仿宋" w:eastAsia="仿宋" w:cs="仿宋"/>
                <w:kern w:val="0"/>
                <w:szCs w:val="21"/>
              </w:rPr>
            </w:pPr>
            <w:r>
              <w:rPr>
                <w:rFonts w:hint="eastAsia" w:ascii="仿宋" w:hAnsi="仿宋" w:eastAsia="仿宋" w:cs="仿宋"/>
                <w:kern w:val="0"/>
                <w:szCs w:val="21"/>
                <w:lang w:eastAsia="zh-CN"/>
              </w:rPr>
              <w:t>第三方回收</w:t>
            </w:r>
          </w:p>
        </w:tc>
        <w:tc>
          <w:tcPr>
            <w:tcW w:w="1418" w:type="dxa"/>
            <w:tcBorders>
              <w:bottom w:val="double" w:color="auto" w:sz="4" w:space="0"/>
            </w:tcBorders>
            <w:noWrap w:val="0"/>
            <w:vAlign w:val="center"/>
          </w:tcPr>
          <w:p>
            <w:pPr>
              <w:spacing w:line="240" w:lineRule="auto"/>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10</w:t>
            </w:r>
          </w:p>
        </w:tc>
        <w:tc>
          <w:tcPr>
            <w:tcW w:w="2727" w:type="dxa"/>
            <w:tcBorders>
              <w:bottom w:val="double" w:color="auto" w:sz="4" w:space="0"/>
              <w:right w:val="dotted" w:color="auto" w:sz="4" w:space="0"/>
            </w:tcBorders>
            <w:noWrap w:val="0"/>
            <w:vAlign w:val="center"/>
          </w:tcPr>
          <w:p>
            <w:pPr>
              <w:spacing w:line="240" w:lineRule="auto"/>
              <w:jc w:val="center"/>
              <w:rPr>
                <w:rFonts w:hint="eastAsia" w:ascii="仿宋" w:hAnsi="仿宋" w:eastAsia="仿宋" w:cs="仿宋"/>
                <w:kern w:val="0"/>
                <w:szCs w:val="21"/>
                <w:lang w:eastAsia="zh-CN"/>
              </w:rPr>
            </w:pPr>
            <w:r>
              <w:rPr>
                <w:rFonts w:hint="eastAsia" w:ascii="仿宋" w:hAnsi="仿宋" w:eastAsia="仿宋" w:cs="仿宋"/>
                <w:kern w:val="0"/>
                <w:szCs w:val="21"/>
                <w:lang w:eastAsia="zh-CN"/>
              </w:rPr>
              <w:t>巢湖市华城环保服务中心</w:t>
            </w:r>
          </w:p>
        </w:tc>
      </w:tr>
    </w:tbl>
    <w:p>
      <w:pPr>
        <w:numPr>
          <w:ilvl w:val="0"/>
          <w:numId w:val="0"/>
        </w:numPr>
        <w:spacing w:line="560" w:lineRule="exact"/>
        <w:rPr>
          <w:rFonts w:hint="default" w:ascii="宋体" w:hAnsi="宋体" w:cs="仿宋"/>
          <w:color w:val="000000"/>
          <w:sz w:val="28"/>
          <w:szCs w:val="28"/>
          <w:lang w:val="en-US" w:eastAsia="zh-CN"/>
        </w:rPr>
      </w:pPr>
      <w:r>
        <w:rPr>
          <w:rFonts w:hint="eastAsia" w:ascii="宋体" w:hAnsi="宋体" w:cs="仿宋"/>
          <w:color w:val="000000"/>
          <w:sz w:val="28"/>
          <w:szCs w:val="28"/>
          <w:lang w:val="en-US" w:eastAsia="zh-CN"/>
        </w:rPr>
        <w:t xml:space="preserve">   </w:t>
      </w:r>
    </w:p>
    <w:p>
      <w:pPr>
        <w:numPr>
          <w:ilvl w:val="0"/>
          <w:numId w:val="2"/>
        </w:numPr>
        <w:ind w:left="0" w:leftChars="0" w:firstLine="0" w:firstLineChars="0"/>
        <w:rPr>
          <w:rFonts w:hint="eastAsia"/>
          <w:b/>
          <w:bCs/>
          <w:sz w:val="28"/>
          <w:szCs w:val="36"/>
          <w:lang w:val="en-US" w:eastAsia="zh-CN"/>
        </w:rPr>
      </w:pPr>
      <w:r>
        <w:rPr>
          <w:rFonts w:hint="eastAsia"/>
          <w:b/>
          <w:bCs/>
          <w:sz w:val="28"/>
          <w:szCs w:val="36"/>
          <w:lang w:val="en-US" w:eastAsia="zh-CN"/>
        </w:rPr>
        <w:t>降低环境负荷的措施及绩效</w:t>
      </w:r>
    </w:p>
    <w:p>
      <w:pPr>
        <w:ind w:firstLine="548" w:firstLineChars="196"/>
        <w:rPr>
          <w:rFonts w:hint="eastAsia" w:ascii="Helvetica" w:hAnsi="Helvetica" w:eastAsia="宋体" w:cs="宋体"/>
          <w:color w:val="000000"/>
          <w:kern w:val="0"/>
          <w:sz w:val="28"/>
          <w:szCs w:val="28"/>
          <w:lang w:eastAsia="zh-CN"/>
        </w:rPr>
      </w:pPr>
      <w:r>
        <w:rPr>
          <w:rFonts w:ascii="Helvetica" w:hAnsi="Helvetica" w:eastAsia="宋体" w:cs="宋体"/>
          <w:color w:val="000000"/>
          <w:kern w:val="0"/>
          <w:sz w:val="28"/>
          <w:szCs w:val="28"/>
        </w:rPr>
        <w:t>环保工作作为评定内容之一</w:t>
      </w:r>
      <w:r>
        <w:rPr>
          <w:rFonts w:hint="eastAsia" w:ascii="Helvetica" w:hAnsi="Helvetica" w:eastAsia="宋体" w:cs="宋体"/>
          <w:color w:val="000000"/>
          <w:kern w:val="0"/>
          <w:sz w:val="28"/>
          <w:szCs w:val="28"/>
          <w:lang w:eastAsia="zh-CN"/>
        </w:rPr>
        <w:t>。</w:t>
      </w:r>
    </w:p>
    <w:p>
      <w:pPr>
        <w:ind w:firstLine="548" w:firstLineChars="196"/>
        <w:rPr>
          <w:rFonts w:ascii="Helvetica" w:hAnsi="Helvetica" w:eastAsia="宋体" w:cs="宋体"/>
          <w:color w:val="000000"/>
          <w:kern w:val="0"/>
          <w:sz w:val="28"/>
          <w:szCs w:val="28"/>
        </w:rPr>
      </w:pPr>
      <w:r>
        <w:rPr>
          <w:rFonts w:ascii="Helvetica" w:hAnsi="Helvetica" w:eastAsia="宋体" w:cs="宋体"/>
          <w:color w:val="000000"/>
          <w:kern w:val="0"/>
          <w:sz w:val="28"/>
          <w:szCs w:val="28"/>
        </w:rPr>
        <w:t>环保人员要重视防治“三废”污染,保护环境。要把环境保护工作作为生产管理的一个重要组成部分,纳入到日常生产中去,实行生产环保一齐抓。</w:t>
      </w:r>
    </w:p>
    <w:p>
      <w:pPr>
        <w:ind w:firstLine="548" w:firstLineChars="196"/>
        <w:rPr>
          <w:rFonts w:ascii="Helvetica" w:hAnsi="Helvetica" w:eastAsia="宋体" w:cs="宋体"/>
          <w:color w:val="000000"/>
          <w:kern w:val="0"/>
          <w:sz w:val="28"/>
          <w:szCs w:val="28"/>
        </w:rPr>
      </w:pPr>
      <w:r>
        <w:rPr>
          <w:rFonts w:ascii="Helvetica" w:hAnsi="Helvetica" w:eastAsia="宋体" w:cs="宋体"/>
          <w:color w:val="000000"/>
          <w:kern w:val="0"/>
          <w:sz w:val="28"/>
          <w:szCs w:val="28"/>
        </w:rPr>
        <w:t>环境保护工作关系到周边环境和每个职工的身体健康及企业生产发展,企业员工必须严格执行环境保护工作制度,任何违反环保工作制度,造成事故者,必根据事故程度追究责任</w:t>
      </w:r>
      <w:r>
        <w:rPr>
          <w:rFonts w:hint="eastAsia" w:ascii="Helvetica" w:hAnsi="Helvetica" w:eastAsia="宋体" w:cs="宋体"/>
          <w:color w:val="000000"/>
          <w:kern w:val="0"/>
          <w:sz w:val="28"/>
          <w:szCs w:val="28"/>
        </w:rPr>
        <w:t>。</w:t>
      </w:r>
    </w:p>
    <w:p>
      <w:pPr>
        <w:ind w:firstLine="548" w:firstLineChars="196"/>
        <w:rPr>
          <w:rFonts w:ascii="Helvetica" w:hAnsi="Helvetica" w:eastAsia="宋体" w:cs="宋体"/>
          <w:color w:val="000000"/>
          <w:kern w:val="0"/>
          <w:sz w:val="28"/>
          <w:szCs w:val="28"/>
        </w:rPr>
      </w:pPr>
      <w:r>
        <w:rPr>
          <w:rFonts w:ascii="Helvetica" w:hAnsi="Helvetica" w:eastAsia="宋体" w:cs="宋体"/>
          <w:color w:val="000000"/>
          <w:kern w:val="0"/>
          <w:sz w:val="28"/>
          <w:szCs w:val="28"/>
        </w:rPr>
        <w:t>防止“三废”污染,实行“谁污染,谁治理”的原则, 所有造成环境污染和其它公害的车间都必须提出治理规划,有计划有步骤地加以实施,企业在财力、物力、人力方面应及时给予安排解决。</w:t>
      </w:r>
    </w:p>
    <w:p>
      <w:pPr>
        <w:ind w:firstLine="548" w:firstLineChars="196"/>
        <w:rPr>
          <w:rFonts w:ascii="Helvetica" w:hAnsi="Helvetica" w:eastAsia="宋体" w:cs="宋体"/>
          <w:color w:val="000000"/>
          <w:kern w:val="0"/>
          <w:sz w:val="28"/>
          <w:szCs w:val="28"/>
        </w:rPr>
      </w:pPr>
      <w:r>
        <w:rPr>
          <w:rFonts w:ascii="Helvetica" w:hAnsi="Helvetica" w:eastAsia="宋体" w:cs="宋体"/>
          <w:color w:val="000000"/>
          <w:kern w:val="0"/>
          <w:sz w:val="28"/>
          <w:szCs w:val="28"/>
        </w:rPr>
        <w:t>对环保设施、设备等要认真管理建立定期检查、维修和维修后验收制度保证设备、设施完好,运转率达到考核指标要求,并确保备品备药的正常储备量</w:t>
      </w:r>
      <w:r>
        <w:rPr>
          <w:rFonts w:hint="eastAsia" w:ascii="Helvetica" w:hAnsi="Helvetica" w:eastAsia="宋体" w:cs="宋体"/>
          <w:color w:val="000000"/>
          <w:kern w:val="0"/>
          <w:sz w:val="28"/>
          <w:szCs w:val="28"/>
        </w:rPr>
        <w:t>。</w:t>
      </w:r>
    </w:p>
    <w:p>
      <w:pPr>
        <w:widowControl w:val="0"/>
        <w:numPr>
          <w:ilvl w:val="0"/>
          <w:numId w:val="0"/>
        </w:numPr>
        <w:ind w:firstLine="560" w:firstLineChars="200"/>
        <w:jc w:val="both"/>
        <w:rPr>
          <w:rFonts w:hint="default"/>
          <w:b/>
          <w:bCs/>
          <w:sz w:val="28"/>
          <w:szCs w:val="36"/>
          <w:lang w:val="en-US" w:eastAsia="zh-CN"/>
        </w:rPr>
      </w:pPr>
      <w:r>
        <w:rPr>
          <w:rFonts w:ascii="Helvetica" w:hAnsi="Helvetica" w:eastAsia="宋体" w:cs="宋体"/>
          <w:color w:val="000000"/>
          <w:kern w:val="0"/>
          <w:sz w:val="28"/>
          <w:szCs w:val="28"/>
        </w:rPr>
        <w:t>凡新建、扩建、改造项目中的“三废”治理和综合利用工作所需资金、设备材料,必须同时列入计划,切实予以保证,在施工过程中不得以任何理由为借口排挤“三废”治理和综合利用工程的资金、设备、材料和人力等。</w:t>
      </w:r>
    </w:p>
    <w:p>
      <w:pPr>
        <w:numPr>
          <w:ilvl w:val="0"/>
          <w:numId w:val="2"/>
        </w:numPr>
        <w:ind w:left="0" w:leftChars="0" w:firstLine="0" w:firstLineChars="0"/>
        <w:rPr>
          <w:rFonts w:hint="eastAsia"/>
          <w:b/>
          <w:bCs/>
          <w:sz w:val="28"/>
          <w:szCs w:val="36"/>
          <w:lang w:val="en-US" w:eastAsia="zh-CN"/>
        </w:rPr>
      </w:pPr>
      <w:r>
        <w:rPr>
          <w:rFonts w:hint="eastAsia"/>
          <w:b/>
          <w:bCs/>
          <w:sz w:val="28"/>
          <w:szCs w:val="36"/>
          <w:lang w:val="en-US" w:eastAsia="zh-CN"/>
        </w:rPr>
        <w:t>与社会及利益相关者关系</w:t>
      </w:r>
    </w:p>
    <w:p>
      <w:pPr>
        <w:widowControl w:val="0"/>
        <w:numPr>
          <w:ilvl w:val="0"/>
          <w:numId w:val="4"/>
        </w:numPr>
        <w:ind w:firstLine="560" w:firstLineChars="200"/>
        <w:jc w:val="both"/>
        <w:rPr>
          <w:rFonts w:hint="eastAsia" w:ascii="Helvetica" w:hAnsi="Helvetica" w:eastAsia="宋体" w:cs="宋体"/>
          <w:color w:val="000000"/>
          <w:kern w:val="0"/>
          <w:sz w:val="28"/>
          <w:szCs w:val="28"/>
          <w:lang w:val="en-US" w:eastAsia="zh-CN"/>
        </w:rPr>
      </w:pPr>
      <w:r>
        <w:rPr>
          <w:rFonts w:hint="eastAsia" w:ascii="Helvetica" w:hAnsi="Helvetica" w:eastAsia="宋体" w:cs="宋体"/>
          <w:color w:val="000000"/>
          <w:kern w:val="0"/>
          <w:sz w:val="28"/>
          <w:szCs w:val="28"/>
          <w:lang w:val="en-US" w:eastAsia="zh-CN"/>
        </w:rPr>
        <w:t>与消费者的关系</w:t>
      </w:r>
    </w:p>
    <w:p>
      <w:pPr>
        <w:widowControl w:val="0"/>
        <w:numPr>
          <w:ilvl w:val="0"/>
          <w:numId w:val="0"/>
        </w:numPr>
        <w:ind w:firstLine="560"/>
        <w:jc w:val="both"/>
        <w:rPr>
          <w:rFonts w:hint="eastAsia" w:ascii="Helvetica" w:hAnsi="Helvetica" w:eastAsia="宋体" w:cs="宋体"/>
          <w:color w:val="000000"/>
          <w:kern w:val="0"/>
          <w:sz w:val="28"/>
          <w:szCs w:val="28"/>
          <w:lang w:val="en-US" w:eastAsia="zh-CN"/>
        </w:rPr>
      </w:pPr>
      <w:r>
        <w:rPr>
          <w:rFonts w:hint="eastAsia" w:ascii="Helvetica" w:hAnsi="Helvetica" w:eastAsia="宋体" w:cs="宋体"/>
          <w:color w:val="000000"/>
          <w:kern w:val="0"/>
          <w:sz w:val="28"/>
          <w:szCs w:val="28"/>
          <w:lang w:val="en-US" w:eastAsia="zh-CN"/>
        </w:rPr>
        <w:t>为消费者提供质量安全可靠、营养价值高的多种水产制品。</w:t>
      </w:r>
    </w:p>
    <w:p>
      <w:pPr>
        <w:widowControl w:val="0"/>
        <w:numPr>
          <w:ilvl w:val="0"/>
          <w:numId w:val="0"/>
        </w:numPr>
        <w:ind w:firstLine="560" w:firstLineChars="200"/>
        <w:jc w:val="both"/>
        <w:rPr>
          <w:rFonts w:hint="eastAsia" w:ascii="Helvetica" w:hAnsi="Helvetica" w:eastAsia="宋体" w:cs="宋体"/>
          <w:color w:val="000000"/>
          <w:kern w:val="0"/>
          <w:sz w:val="28"/>
          <w:szCs w:val="28"/>
          <w:lang w:val="en-US" w:eastAsia="zh-CN"/>
        </w:rPr>
      </w:pPr>
      <w:r>
        <w:rPr>
          <w:rFonts w:hint="eastAsia" w:ascii="Helvetica" w:hAnsi="Helvetica" w:eastAsia="宋体" w:cs="宋体"/>
          <w:color w:val="000000"/>
          <w:kern w:val="0"/>
          <w:sz w:val="28"/>
          <w:szCs w:val="28"/>
          <w:lang w:val="en-US" w:eastAsia="zh-CN"/>
        </w:rPr>
        <w:t>2.与员工的关系</w:t>
      </w:r>
    </w:p>
    <w:p>
      <w:pPr>
        <w:widowControl w:val="0"/>
        <w:numPr>
          <w:ilvl w:val="0"/>
          <w:numId w:val="0"/>
        </w:numPr>
        <w:ind w:firstLine="560" w:firstLineChars="200"/>
        <w:jc w:val="both"/>
        <w:rPr>
          <w:rFonts w:hint="eastAsia" w:ascii="Helvetica" w:hAnsi="Helvetica" w:eastAsia="宋体" w:cs="宋体"/>
          <w:color w:val="000000"/>
          <w:kern w:val="0"/>
          <w:sz w:val="28"/>
          <w:szCs w:val="28"/>
          <w:lang w:val="en-US" w:eastAsia="zh-CN"/>
        </w:rPr>
      </w:pPr>
      <w:r>
        <w:rPr>
          <w:rFonts w:hint="eastAsia" w:ascii="Helvetica" w:hAnsi="Helvetica" w:eastAsia="宋体" w:cs="宋体"/>
          <w:color w:val="000000"/>
          <w:kern w:val="0"/>
          <w:sz w:val="28"/>
          <w:szCs w:val="28"/>
          <w:lang w:val="en-US" w:eastAsia="zh-CN"/>
        </w:rPr>
        <w:t>公司为员工提供良好的工作生活环境，注重加强员工的技能培训教育。公司员工的稳定为公司安全环保生产提供了坚实的基础。</w:t>
      </w:r>
    </w:p>
    <w:p>
      <w:pPr>
        <w:widowControl w:val="0"/>
        <w:numPr>
          <w:ilvl w:val="0"/>
          <w:numId w:val="0"/>
        </w:numPr>
        <w:ind w:firstLine="560" w:firstLineChars="200"/>
        <w:jc w:val="both"/>
        <w:rPr>
          <w:rFonts w:hint="eastAsia" w:ascii="Helvetica" w:hAnsi="Helvetica" w:eastAsia="宋体" w:cs="宋体"/>
          <w:color w:val="000000"/>
          <w:kern w:val="0"/>
          <w:sz w:val="28"/>
          <w:szCs w:val="28"/>
          <w:lang w:val="en-US" w:eastAsia="zh-CN"/>
        </w:rPr>
      </w:pPr>
      <w:r>
        <w:rPr>
          <w:rFonts w:hint="eastAsia" w:ascii="Helvetica" w:hAnsi="Helvetica" w:eastAsia="宋体" w:cs="宋体"/>
          <w:color w:val="000000"/>
          <w:kern w:val="0"/>
          <w:sz w:val="28"/>
          <w:szCs w:val="28"/>
          <w:lang w:val="en-US" w:eastAsia="zh-CN"/>
        </w:rPr>
        <w:t>3.与公众的关系</w:t>
      </w:r>
    </w:p>
    <w:p>
      <w:pPr>
        <w:spacing w:line="460" w:lineRule="exact"/>
        <w:ind w:firstLine="560" w:firstLineChars="200"/>
        <w:rPr>
          <w:rFonts w:hint="eastAsia" w:ascii="Helvetica" w:hAnsi="Helvetica" w:eastAsia="宋体" w:cs="宋体"/>
          <w:color w:val="000000"/>
          <w:kern w:val="0"/>
          <w:sz w:val="28"/>
          <w:szCs w:val="28"/>
          <w:lang w:val="en-US" w:eastAsia="zh-CN"/>
        </w:rPr>
      </w:pPr>
      <w:r>
        <w:rPr>
          <w:rFonts w:hint="eastAsia" w:ascii="Helvetica" w:hAnsi="Helvetica" w:eastAsia="宋体" w:cs="宋体"/>
          <w:color w:val="000000"/>
          <w:kern w:val="0"/>
          <w:sz w:val="28"/>
          <w:szCs w:val="28"/>
          <w:lang w:val="en-US" w:eastAsia="zh-CN"/>
        </w:rPr>
        <w:t>公司环境信息及时向社会公众进行披露并上传环保局网站。多年来，公司凭借市场、品牌、科技、规模等优势先后获得“农业产业化国家重点龙头企业”、“国家高新技术企业”、“农业部全国农产品加工企业技术创新机构”、“农业部水产健康养殖示范场”、“国家级斑点叉尾鮰良种场”、“国家级无公害水产品标准化示范区”、“全国休闲渔业示范基地”、“全国现代渔业种业示范场”、“安徽省农业产业化龙头企业‘甲级队’”、牵头成立的“安徽富煌三珍现代农业（渔业）产业化联合体”为省级示范现代农业产业化联合体、“安徽省十大农产品出口示范基地”、“安徽省渔业产业化龙头企业排头兵”、“安徽省无公害水产品安全追溯试点企业”、2015-2016年度安徽省“守合同重信用企业”、“安徽省诚信示范企业”、“合肥市2014-2016年度先进单位”、“合肥市小微企业创业示范基地”、巢湖市“2018年度‘百企帮百村’精准扶贫先进单位”、“安全标准化三级企业”，安徽省食品行业协会授予的“食品安全诚信宣誓单位”、“安徽省食品行业最具成长性企业”。为“中国渔业协会副会长单位”、“中国水产流通与加工协会副会长单位”、“中国水产流通与加工协会鲶鱼产业分会会长单位”、“中国水产流通与加工协会内陆天然水域产销分会常务理事单位”、“安徽省渔业协会副会长单位”、“安徽省食品行业协会副会长单位”、“安徽省餐饮行业协会副会长单位”、“合肥市农产品质量安全可追溯产业技术创新战略联盟成员单位”，为推动我国渔业发展发挥了积极作用。</w:t>
      </w:r>
    </w:p>
    <w:p>
      <w:pPr>
        <w:spacing w:line="460" w:lineRule="exact"/>
        <w:ind w:firstLine="560" w:firstLineChars="200"/>
        <w:rPr>
          <w:rFonts w:hint="default" w:ascii="Helvetica" w:hAnsi="Helvetica" w:eastAsia="宋体" w:cs="宋体"/>
          <w:color w:val="000000"/>
          <w:kern w:val="0"/>
          <w:sz w:val="28"/>
          <w:szCs w:val="28"/>
          <w:lang w:val="en-US" w:eastAsia="zh-CN"/>
        </w:rPr>
      </w:pPr>
      <w:r>
        <w:rPr>
          <w:rFonts w:hint="eastAsia" w:ascii="Helvetica" w:hAnsi="Helvetica" w:eastAsia="宋体" w:cs="宋体"/>
          <w:color w:val="000000"/>
          <w:kern w:val="0"/>
          <w:sz w:val="28"/>
          <w:szCs w:val="28"/>
          <w:lang w:val="en-US" w:eastAsia="zh-CN"/>
        </w:rPr>
        <w:t>“十三五”期间，公司紧密围绕产业升级、市场转型、技术创新和品牌建设四大抓手，全面强化产业链建设，为农业供给侧结构性改革、乡村振兴、脱贫攻坚战做出更大的贡献。</w:t>
      </w:r>
    </w:p>
    <w:p>
      <w:pPr>
        <w:numPr>
          <w:ilvl w:val="0"/>
          <w:numId w:val="0"/>
        </w:numPr>
        <w:rPr>
          <w:rFonts w:hint="default"/>
          <w:b/>
          <w:bCs/>
          <w:sz w:val="28"/>
          <w:szCs w:val="36"/>
          <w:lang w:val="en-US" w:eastAsia="zh-CN"/>
        </w:rPr>
      </w:pPr>
      <w:r>
        <w:rPr>
          <w:rFonts w:hint="eastAsia"/>
          <w:b/>
          <w:bCs/>
          <w:sz w:val="28"/>
          <w:szCs w:val="36"/>
          <w:lang w:val="en-US" w:eastAsia="zh-CN"/>
        </w:rPr>
        <w:t>七、总结</w:t>
      </w:r>
    </w:p>
    <w:p>
      <w:pPr>
        <w:widowControl w:val="0"/>
        <w:numPr>
          <w:ilvl w:val="0"/>
          <w:numId w:val="0"/>
        </w:numPr>
        <w:ind w:firstLine="560" w:firstLineChars="200"/>
        <w:jc w:val="both"/>
        <w:rPr>
          <w:rFonts w:hint="eastAsia" w:ascii="Helvetica" w:hAnsi="Helvetica" w:eastAsia="宋体" w:cs="宋体"/>
          <w:color w:val="000000"/>
          <w:kern w:val="0"/>
          <w:sz w:val="28"/>
          <w:szCs w:val="28"/>
          <w:lang w:val="en-US" w:eastAsia="zh-CN"/>
        </w:rPr>
      </w:pPr>
      <w:r>
        <w:rPr>
          <w:rFonts w:hint="eastAsia" w:ascii="Helvetica" w:hAnsi="Helvetica" w:eastAsia="宋体" w:cs="宋体"/>
          <w:color w:val="000000"/>
          <w:kern w:val="0"/>
          <w:sz w:val="28"/>
          <w:szCs w:val="28"/>
          <w:lang w:val="en-US" w:eastAsia="zh-CN"/>
        </w:rPr>
        <w:t>本报告参照国家环保部，《企业环境报告书编制到则》进行编制，公司从建设起未发生重大环境违法时间。公司在领导带领下，继续完善环保规章制度，加强环境保护管理，确保各项污染物、达标排放，积极履行环保社会责任。为推动我国水产品加工业的发展发挥了积极作用。</w:t>
      </w:r>
    </w:p>
    <w:p>
      <w:pPr>
        <w:widowControl w:val="0"/>
        <w:numPr>
          <w:ilvl w:val="0"/>
          <w:numId w:val="0"/>
        </w:numPr>
        <w:ind w:firstLine="560" w:firstLineChars="200"/>
        <w:jc w:val="both"/>
        <w:rPr>
          <w:rFonts w:hint="default" w:ascii="Helvetica" w:hAnsi="Helvetica" w:eastAsia="宋体" w:cs="宋体"/>
          <w:color w:val="000000"/>
          <w:kern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Helvetica">
    <w:altName w:val="Arial"/>
    <w:panose1 w:val="020B0604020202020204"/>
    <w:charset w:val="00"/>
    <w:family w:val="swiss"/>
    <w:pitch w:val="default"/>
    <w:sig w:usb0="00000000" w:usb1="00000000" w:usb2="00000000" w:usb3="00000000" w:csb0="00000001" w:csb1="00000000"/>
  </w:font>
  <w:font w:name="仿宋">
    <w:altName w:val="Arial Unicode MS"/>
    <w:panose1 w:val="02010609060101010101"/>
    <w:charset w:val="86"/>
    <w:family w:val="modern"/>
    <w:pitch w:val="default"/>
    <w:sig w:usb0="00000000" w:usb1="00000000" w:usb2="00000016" w:usb3="00000000" w:csb0="00040001" w:csb1="00000000"/>
  </w:font>
  <w:font w:name="Arial">
    <w:panose1 w:val="020B0604020202020204"/>
    <w:charset w:val="00"/>
    <w:family w:val="swiss"/>
    <w:pitch w:val="default"/>
    <w:sig w:usb0="00007A87" w:usb1="80000000" w:usb2="00000008"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A6FB18"/>
    <w:multiLevelType w:val="singleLevel"/>
    <w:tmpl w:val="84A6FB18"/>
    <w:lvl w:ilvl="0" w:tentative="0">
      <w:start w:val="2"/>
      <w:numFmt w:val="decimal"/>
      <w:suff w:val="nothing"/>
      <w:lvlText w:val="（%1）"/>
      <w:lvlJc w:val="left"/>
    </w:lvl>
  </w:abstractNum>
  <w:abstractNum w:abstractNumId="1">
    <w:nsid w:val="BB3242FE"/>
    <w:multiLevelType w:val="singleLevel"/>
    <w:tmpl w:val="BB3242FE"/>
    <w:lvl w:ilvl="0" w:tentative="0">
      <w:start w:val="4"/>
      <w:numFmt w:val="chineseCounting"/>
      <w:suff w:val="nothing"/>
      <w:lvlText w:val="%1、"/>
      <w:lvlJc w:val="left"/>
      <w:rPr>
        <w:rFonts w:hint="eastAsia"/>
      </w:rPr>
    </w:lvl>
  </w:abstractNum>
  <w:abstractNum w:abstractNumId="2">
    <w:nsid w:val="499D3930"/>
    <w:multiLevelType w:val="singleLevel"/>
    <w:tmpl w:val="499D3930"/>
    <w:lvl w:ilvl="0" w:tentative="0">
      <w:start w:val="1"/>
      <w:numFmt w:val="decimal"/>
      <w:lvlText w:val="%1."/>
      <w:lvlJc w:val="left"/>
      <w:pPr>
        <w:tabs>
          <w:tab w:val="left" w:pos="312"/>
        </w:tabs>
      </w:pPr>
    </w:lvl>
  </w:abstractNum>
  <w:abstractNum w:abstractNumId="3">
    <w:nsid w:val="6895E7BA"/>
    <w:multiLevelType w:val="singleLevel"/>
    <w:tmpl w:val="6895E7BA"/>
    <w:lvl w:ilvl="0" w:tentative="0">
      <w:start w:val="1"/>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CD322E"/>
    <w:rsid w:val="3E012EDF"/>
    <w:rsid w:val="669C76AC"/>
    <w:rsid w:val="74385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jc w:val="center"/>
      <w:outlineLvl w:val="0"/>
    </w:pPr>
    <w:rPr>
      <w:b/>
      <w:bCs/>
      <w:kern w:val="44"/>
      <w:sz w:val="30"/>
      <w:szCs w:val="44"/>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pPr>
      <w:autoSpaceDE w:val="0"/>
      <w:autoSpaceDN w:val="0"/>
      <w:ind w:left="120" w:right="262"/>
      <w:jc w:val="left"/>
    </w:pPr>
    <w:rPr>
      <w:rFonts w:ascii="宋体" w:hAnsi="宋体" w:cs="宋体"/>
      <w:kern w:val="0"/>
      <w:sz w:val="24"/>
      <w:szCs w:val="24"/>
      <w:lang w:val="zh-CN" w:bidi="zh-CN"/>
    </w:rPr>
  </w:style>
  <w:style w:type="paragraph" w:styleId="4">
    <w:name w:val="Normal (Web)"/>
    <w:basedOn w:val="1"/>
    <w:qFormat/>
    <w:uiPriority w:val="0"/>
    <w:pPr>
      <w:widowControl/>
      <w:spacing w:before="100" w:beforeLines="0" w:beforeAutospacing="1" w:after="100" w:afterLines="0" w:afterAutospacing="1"/>
      <w:jc w:val="left"/>
    </w:pPr>
    <w:rPr>
      <w:rFonts w:ascii="宋体" w:hAnsi="宋体"/>
      <w:color w:val="000000"/>
      <w:kern w:val="0"/>
      <w:sz w:val="24"/>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2019-08-02T02:06:00Z</dcterms:created>
  <dc:creator>Administrator</dc:creator>
  <cp:lastModifiedBy>Administrator</cp:lastModifiedBy>
  <dcterms:modified xsi:type="dcterms:W3CDTF">2019-08-03T00:22:51Z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