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96"/>
          <w:szCs w:val="160"/>
          <w:lang w:eastAsia="zh-CN"/>
        </w:rPr>
      </w:pPr>
    </w:p>
    <w:p>
      <w:pPr>
        <w:jc w:val="center"/>
        <w:rPr>
          <w:rFonts w:hint="eastAsia" w:asciiTheme="minorEastAsia" w:hAnsiTheme="minorEastAsia" w:eastAsiaTheme="minorEastAsia" w:cstheme="minorEastAsia"/>
          <w:sz w:val="96"/>
          <w:szCs w:val="160"/>
          <w:lang w:eastAsia="zh-CN"/>
        </w:rPr>
      </w:pPr>
    </w:p>
    <w:p>
      <w:pPr>
        <w:jc w:val="center"/>
        <w:rPr>
          <w:rFonts w:hint="eastAsia" w:asciiTheme="minorEastAsia" w:hAnsiTheme="minorEastAsia" w:eastAsiaTheme="minorEastAsia" w:cstheme="minorEastAsia"/>
          <w:sz w:val="96"/>
          <w:szCs w:val="160"/>
          <w:lang w:eastAsia="zh-CN"/>
        </w:rPr>
      </w:pPr>
    </w:p>
    <w:p>
      <w:pPr>
        <w:jc w:val="center"/>
        <w:rPr>
          <w:rFonts w:hint="eastAsia"/>
          <w:sz w:val="96"/>
          <w:szCs w:val="160"/>
          <w:lang w:val="en-US" w:eastAsia="zh-CN"/>
        </w:rPr>
      </w:pPr>
      <w:r>
        <w:rPr>
          <w:rFonts w:hint="eastAsia" w:asciiTheme="minorEastAsia" w:hAnsiTheme="minorEastAsia" w:eastAsiaTheme="minorEastAsia" w:cstheme="minorEastAsia"/>
          <w:sz w:val="96"/>
          <w:szCs w:val="160"/>
          <w:lang w:eastAsia="zh-CN"/>
        </w:rPr>
        <w:t>企业环境报告书</w:t>
      </w:r>
    </w:p>
    <w:p>
      <w:pPr>
        <w:jc w:val="center"/>
        <w:rPr>
          <w:rFonts w:hint="default"/>
          <w:sz w:val="96"/>
          <w:szCs w:val="160"/>
          <w:lang w:val="en-US" w:eastAsia="zh-CN"/>
        </w:rPr>
      </w:pPr>
      <w:r>
        <w:rPr>
          <w:rFonts w:hint="eastAsia"/>
          <w:sz w:val="48"/>
          <w:szCs w:val="56"/>
          <w:lang w:val="en-US" w:eastAsia="zh-CN"/>
        </w:rPr>
        <w:t>2020年度</w:t>
      </w: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p>
    <w:p>
      <w:pPr>
        <w:jc w:val="center"/>
        <w:rPr>
          <w:rFonts w:hint="eastAsia"/>
          <w:sz w:val="32"/>
          <w:szCs w:val="40"/>
          <w:lang w:val="en-US" w:eastAsia="zh-CN"/>
        </w:rPr>
      </w:pPr>
    </w:p>
    <w:p>
      <w:pPr>
        <w:jc w:val="center"/>
        <w:rPr>
          <w:rFonts w:hint="eastAsia"/>
          <w:lang w:val="en-US" w:eastAsia="zh-CN"/>
        </w:rPr>
      </w:pPr>
      <w:r>
        <w:rPr>
          <w:rFonts w:hint="eastAsia"/>
          <w:sz w:val="32"/>
          <w:szCs w:val="40"/>
          <w:lang w:val="en-US" w:eastAsia="zh-CN"/>
        </w:rPr>
        <w:t>安徽富煌三珍食品集团有限公司</w:t>
      </w:r>
    </w:p>
    <w:p>
      <w:pPr>
        <w:rPr>
          <w:rFonts w:hint="eastAsia"/>
          <w:lang w:val="en-US" w:eastAsia="zh-CN"/>
        </w:rPr>
      </w:pPr>
    </w:p>
    <w:p>
      <w:pPr>
        <w:numPr>
          <w:ilvl w:val="0"/>
          <w:numId w:val="1"/>
        </w:numPr>
        <w:rPr>
          <w:rFonts w:hint="eastAsia"/>
          <w:b/>
          <w:bCs/>
          <w:sz w:val="28"/>
          <w:szCs w:val="36"/>
          <w:lang w:val="en-US" w:eastAsia="zh-CN"/>
        </w:rPr>
      </w:pPr>
      <w:r>
        <w:rPr>
          <w:rFonts w:hint="eastAsia"/>
          <w:b/>
          <w:bCs/>
          <w:sz w:val="28"/>
          <w:szCs w:val="36"/>
          <w:lang w:val="en-US" w:eastAsia="zh-CN"/>
        </w:rPr>
        <w:t xml:space="preserve">高层致辞 </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环境保护是我国的基本国策。随着社会经济的快速发展，面对全球气候变暖、大气及水体与海洋污染、自然资源及生态环境污染影响等，环境问题已成为制约人类生存和发展的重大问题。企业作为社会发展的主动力，环境资源的主要消耗者与环境污染源的主要产生者，应义不容辞的担当起推进生态文明建设，发展绿色经济的历史责任。保护环境,实现生产、生活和生态的良性循环,是每个企业应尽的社会责任。为此，公司致力于通过各种方式减少生产过程对资源的消耗、对环境的污染, 始终坚持“安全第一、达标排放、防消结合、综合治理”的发展模式，积极履行作为绿色发展的理念。着力进行节能减排技术创新、夯实环保管理基础。</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我公司坚持用科学发展观统领企业运营，一方面不断推进工艺改造，从源头上实现节能减排；另一方面不断强化企业环境管理体系的健全和完善，促进企业环境管理的科学化、制度化建设。我们进一步完善了公司多项环境管理制度，通过组织各种形式的宣传和培训活动，不断强化全体员工环保意识，将企业“做好环境保护事关企业的生死存亡”的重要理念融入到公司每位员工的思想和行动之中。</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依据国家环保部《企业环境报告书编制导则》（HJ617-2011）的相关要求，我公司组织编制了《安徽富煌三珍食品集团2018年度环境报告书》，我们希望通过2020年度本公司的环境报告，将公司的环境信息系统透明、真实地传达给公众，以实现企业与社会及利益</w:t>
      </w:r>
      <w:bookmarkStart w:id="0" w:name="_GoBack"/>
      <w:bookmarkEnd w:id="0"/>
      <w:r>
        <w:rPr>
          <w:rFonts w:hint="eastAsia" w:ascii="Helvetica" w:hAnsi="Helvetica" w:eastAsia="宋体" w:cs="宋体"/>
          <w:color w:val="000000"/>
          <w:kern w:val="0"/>
          <w:sz w:val="28"/>
          <w:szCs w:val="28"/>
          <w:lang w:val="en-US" w:eastAsia="zh-CN"/>
        </w:rPr>
        <w:t>相关者之间的环境信息交流，进一步履行社会责任和义务，并诚恳接受社会、公众和各级环境管理部门的监督指导。</w:t>
      </w:r>
    </w:p>
    <w:p>
      <w:pPr>
        <w:numPr>
          <w:ilvl w:val="0"/>
          <w:numId w:val="0"/>
        </w:numPr>
        <w:rPr>
          <w:rFonts w:hint="default"/>
          <w:lang w:val="en-US" w:eastAsia="zh-CN"/>
        </w:rPr>
      </w:pPr>
    </w:p>
    <w:p>
      <w:pPr>
        <w:numPr>
          <w:ilvl w:val="0"/>
          <w:numId w:val="0"/>
        </w:numPr>
        <w:rPr>
          <w:rFonts w:hint="default"/>
          <w:lang w:val="en-US" w:eastAsia="zh-CN"/>
        </w:rPr>
      </w:pPr>
      <w:r>
        <w:rPr>
          <w:rFonts w:hint="eastAsia"/>
          <w:b/>
          <w:bCs/>
          <w:sz w:val="28"/>
          <w:szCs w:val="36"/>
          <w:lang w:val="en-US" w:eastAsia="zh-CN"/>
        </w:rPr>
        <w:t>二、公司概况及编制说明</w:t>
      </w: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公司概况</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安徽富煌三珍食品集团有限公司成立于2002年，公司注册资金9430.56万元。加工区位于安徽省合肥市巢湖市黄麓镇富煌工业园，苗种繁育、养殖区位于巢湖市黄麓镇花塘行政村天井圩，是一家专于水产品全产业链体系建设的农业产业化国家重点龙头企业和国家高新技术企业，业务涵盖水产苗种繁育、健康示范养殖、水产精深加工、生鲜食品超市四大板块，集团有安徽富煌商业管理有限公司、安徽省巢湖市富煌水产开发有限公司、安徽富煌三珍农业科技有限公司、巢湖富士金进出口有限公司、美国蓝海豚公司、BRT公司、北京三珍国际贸易公司等7家子公司和1家母公司组成。</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拥有176亩食品加工区、建筑面积20000平方米、20000立方米冷库，年加工鮰鱼1万吨、小龙虾5000吨、水产调料5000吨，拥在1410亩苗种繁育和示范养殖区和20万亩订单养殖基地，23家连锁超市，是国内淡水鱼加工的领军企业。</w:t>
      </w: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widowControl w:val="0"/>
        <w:numPr>
          <w:ilvl w:val="0"/>
          <w:numId w:val="0"/>
        </w:numPr>
        <w:ind w:firstLine="420" w:firstLineChars="200"/>
        <w:jc w:val="both"/>
        <w:rPr>
          <w:rFonts w:hint="eastAsia"/>
          <w:bCs/>
          <w:szCs w:val="24"/>
        </w:rPr>
      </w:pPr>
    </w:p>
    <w:p>
      <w:pPr>
        <w:numPr>
          <w:ilvl w:val="0"/>
          <w:numId w:val="0"/>
        </w:numPr>
        <w:ind w:firstLine="562" w:firstLineChars="200"/>
        <w:rPr>
          <w:rFonts w:hint="eastAsia"/>
          <w:b/>
          <w:bCs/>
          <w:sz w:val="28"/>
          <w:szCs w:val="36"/>
          <w:lang w:val="en-US" w:eastAsia="zh-CN"/>
        </w:rPr>
      </w:pPr>
      <w:r>
        <w:rPr>
          <w:rFonts w:hint="eastAsia"/>
          <w:b/>
          <w:bCs/>
          <w:sz w:val="28"/>
          <w:szCs w:val="36"/>
          <w:lang w:val="en-US" w:eastAsia="zh-CN"/>
        </w:rPr>
        <w:t>公司内部组织架构图</w:t>
      </w:r>
    </w:p>
    <w:p>
      <w:pPr>
        <w:widowControl w:val="0"/>
        <w:numPr>
          <w:ilvl w:val="0"/>
          <w:numId w:val="0"/>
        </w:numPr>
        <w:ind w:firstLine="422" w:firstLineChars="200"/>
        <w:jc w:val="both"/>
        <w:rPr>
          <w:rFonts w:hint="default"/>
          <w:b/>
          <w:bCs w:val="0"/>
          <w:szCs w:val="24"/>
          <w:lang w:val="en-US" w:eastAsia="zh-CN"/>
        </w:rPr>
      </w:pPr>
      <w:r>
        <w:rPr>
          <w:rFonts w:hint="default"/>
          <w:b/>
          <w:bCs w:val="0"/>
          <w:szCs w:val="24"/>
          <w:lang w:val="en-US" w:eastAsia="zh-CN"/>
        </w:rPr>
        <w:drawing>
          <wp:inline distT="0" distB="0" distL="114300" distR="114300">
            <wp:extent cx="5271770" cy="3204210"/>
            <wp:effectExtent l="0" t="0" r="5080" b="15240"/>
            <wp:docPr id="1" name="图片 1" descr="三珍本部组织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珍本部组织架构图"/>
                    <pic:cNvPicPr>
                      <a:picLocks noChangeAspect="1"/>
                    </pic:cNvPicPr>
                  </pic:nvPicPr>
                  <pic:blipFill>
                    <a:blip r:embed="rId4"/>
                    <a:stretch>
                      <a:fillRect/>
                    </a:stretch>
                  </pic:blipFill>
                  <pic:spPr>
                    <a:xfrm>
                      <a:off x="0" y="0"/>
                      <a:ext cx="5271770" cy="3204210"/>
                    </a:xfrm>
                    <a:prstGeom prst="rect">
                      <a:avLst/>
                    </a:prstGeom>
                  </pic:spPr>
                </pic:pic>
              </a:graphicData>
            </a:graphic>
          </wp:inline>
        </w:drawing>
      </w:r>
    </w:p>
    <w:p>
      <w:pPr>
        <w:widowControl w:val="0"/>
        <w:numPr>
          <w:ilvl w:val="0"/>
          <w:numId w:val="0"/>
        </w:numPr>
        <w:ind w:firstLine="422" w:firstLineChars="200"/>
        <w:jc w:val="both"/>
        <w:rPr>
          <w:rFonts w:hint="default"/>
          <w:b/>
          <w:bCs w:val="0"/>
          <w:szCs w:val="24"/>
          <w:lang w:val="en-US" w:eastAsia="zh-CN"/>
        </w:rPr>
      </w:pPr>
    </w:p>
    <w:p>
      <w:pPr>
        <w:numPr>
          <w:ilvl w:val="0"/>
          <w:numId w:val="0"/>
        </w:numPr>
        <w:ind w:firstLine="562" w:firstLineChars="200"/>
        <w:rPr>
          <w:rFonts w:hint="default"/>
          <w:b/>
          <w:bCs/>
          <w:sz w:val="28"/>
          <w:szCs w:val="36"/>
          <w:lang w:val="en-US" w:eastAsia="zh-CN"/>
        </w:rPr>
      </w:pPr>
      <w:r>
        <w:rPr>
          <w:rFonts w:hint="eastAsia"/>
          <w:b/>
          <w:bCs/>
          <w:sz w:val="28"/>
          <w:szCs w:val="36"/>
          <w:lang w:val="en-US" w:eastAsia="zh-CN"/>
        </w:rPr>
        <w:t>报告编制说明</w:t>
      </w:r>
    </w:p>
    <w:p>
      <w:pPr>
        <w:ind w:firstLine="548" w:firstLineChars="196"/>
        <w:rPr>
          <w:rFonts w:hint="default" w:ascii="Helvetica" w:hAnsi="Helvetica" w:eastAsia="宋体" w:cs="宋体"/>
          <w:color w:val="000000"/>
          <w:kern w:val="0"/>
          <w:sz w:val="28"/>
          <w:szCs w:val="28"/>
          <w:lang w:val="en-US" w:eastAsia="zh-CN"/>
        </w:rPr>
      </w:pPr>
      <w:r>
        <w:rPr>
          <w:rFonts w:hint="default" w:ascii="Helvetica" w:hAnsi="Helvetica" w:eastAsia="宋体" w:cs="宋体"/>
          <w:color w:val="000000"/>
          <w:kern w:val="0"/>
          <w:sz w:val="28"/>
          <w:szCs w:val="28"/>
          <w:lang w:val="en-US" w:eastAsia="zh-CN"/>
        </w:rPr>
        <w:t>年度环境报告是公司按照新《环境保护法》 “信息公开与公众参与 ”及《企业环境报告书编制导则》的要求，结合地方有关法律法规，在年度环境报告中持续公开环境保护信息 ，接受社会监督。</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发布方式：本报告在安徽富煌三珍食品集团有限公司网站发布</w:t>
      </w:r>
    </w:p>
    <w:p>
      <w:pPr>
        <w:ind w:firstLine="548" w:firstLineChars="196"/>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编辑部门：安徽富煌三珍食品集团有限公司安环部</w:t>
      </w:r>
    </w:p>
    <w:p>
      <w:pPr>
        <w:ind w:firstLine="548" w:firstLineChars="196"/>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联系电话：0551-88560199</w:t>
      </w:r>
    </w:p>
    <w:p>
      <w:pPr>
        <w:widowControl w:val="0"/>
        <w:numPr>
          <w:ilvl w:val="0"/>
          <w:numId w:val="0"/>
        </w:numPr>
        <w:ind w:firstLine="422" w:firstLineChars="200"/>
        <w:jc w:val="both"/>
        <w:rPr>
          <w:rFonts w:hint="default"/>
          <w:b/>
          <w:bCs w:val="0"/>
          <w:szCs w:val="24"/>
          <w:lang w:val="en-US" w:eastAsia="zh-CN"/>
        </w:rPr>
      </w:pPr>
    </w:p>
    <w:p>
      <w:pPr>
        <w:numPr>
          <w:ilvl w:val="0"/>
          <w:numId w:val="0"/>
        </w:numPr>
        <w:rPr>
          <w:rFonts w:hint="default"/>
          <w:b/>
          <w:bCs/>
          <w:sz w:val="28"/>
          <w:szCs w:val="36"/>
          <w:lang w:val="en-US" w:eastAsia="zh-CN"/>
        </w:rPr>
      </w:pPr>
      <w:r>
        <w:rPr>
          <w:rFonts w:hint="eastAsia"/>
          <w:b/>
          <w:bCs/>
          <w:sz w:val="28"/>
          <w:szCs w:val="36"/>
          <w:lang w:val="en-US" w:eastAsia="zh-CN"/>
        </w:rPr>
        <w:t>三、环保管理情况</w:t>
      </w:r>
    </w:p>
    <w:p>
      <w:pPr>
        <w:ind w:firstLine="548" w:firstLineChars="196"/>
        <w:rPr>
          <w:rFonts w:ascii="Helvetica" w:hAnsi="Helvetica" w:eastAsia="宋体" w:cs="宋体"/>
          <w:color w:val="000000"/>
          <w:kern w:val="0"/>
          <w:sz w:val="28"/>
          <w:szCs w:val="28"/>
        </w:rPr>
      </w:pPr>
      <w:r>
        <w:rPr>
          <w:rFonts w:hint="eastAsia" w:ascii="Helvetica" w:hAnsi="Helvetica" w:eastAsia="宋体" w:cs="宋体"/>
          <w:color w:val="000000"/>
          <w:kern w:val="0"/>
          <w:sz w:val="28"/>
          <w:szCs w:val="28"/>
        </w:rPr>
        <w:t>本企业环保工作的责任主体为品管部，监管部门为安环部</w:t>
      </w:r>
      <w:r>
        <w:rPr>
          <w:rFonts w:ascii="Helvetica" w:hAnsi="Helvetica" w:eastAsia="宋体" w:cs="宋体"/>
          <w:color w:val="000000"/>
          <w:kern w:val="0"/>
          <w:sz w:val="28"/>
          <w:szCs w:val="28"/>
        </w:rPr>
        <w:t>,改善企业环境状况,减少企业对周围环境的污染,并协调企业与政府环保部门的工作。</w:t>
      </w:r>
    </w:p>
    <w:p>
      <w:pPr>
        <w:ind w:firstLine="548" w:firstLineChars="196"/>
        <w:rPr>
          <w:rFonts w:hint="eastAsia" w:ascii="Helvetica" w:hAnsi="Helvetica" w:eastAsia="宋体" w:cs="宋体"/>
          <w:color w:val="000000"/>
          <w:kern w:val="0"/>
          <w:sz w:val="28"/>
          <w:szCs w:val="28"/>
        </w:rPr>
      </w:pPr>
      <w:r>
        <w:rPr>
          <w:rFonts w:ascii="Helvetica" w:hAnsi="Helvetica" w:eastAsia="宋体" w:cs="宋体"/>
          <w:color w:val="000000"/>
          <w:kern w:val="0"/>
          <w:sz w:val="28"/>
          <w:szCs w:val="28"/>
        </w:rPr>
        <w:t>组织建立企业环境保护管理团队,由企业领导和</w:t>
      </w:r>
      <w:r>
        <w:rPr>
          <w:rFonts w:hint="eastAsia" w:ascii="Helvetica" w:hAnsi="Helvetica" w:eastAsia="宋体" w:cs="宋体"/>
          <w:color w:val="000000"/>
          <w:kern w:val="0"/>
          <w:sz w:val="28"/>
          <w:szCs w:val="28"/>
        </w:rPr>
        <w:t>安环部</w:t>
      </w:r>
      <w:r>
        <w:rPr>
          <w:rFonts w:ascii="Helvetica" w:hAnsi="Helvetica" w:eastAsia="宋体" w:cs="宋体"/>
          <w:color w:val="000000"/>
          <w:kern w:val="0"/>
          <w:sz w:val="28"/>
          <w:szCs w:val="28"/>
        </w:rPr>
        <w:t>组成,共同搞好本企业的环境保护工作</w:t>
      </w:r>
      <w:r>
        <w:rPr>
          <w:rFonts w:hint="eastAsia" w:ascii="Helvetica" w:hAnsi="Helvetica" w:eastAsia="宋体" w:cs="宋体"/>
          <w:color w:val="000000"/>
          <w:kern w:val="0"/>
          <w:sz w:val="28"/>
          <w:szCs w:val="28"/>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企业环境保护机构配备</w:t>
      </w:r>
      <w:r>
        <w:rPr>
          <w:rFonts w:hint="eastAsia" w:ascii="Helvetica" w:hAnsi="Helvetica" w:eastAsia="宋体" w:cs="宋体"/>
          <w:color w:val="000000"/>
          <w:kern w:val="0"/>
          <w:sz w:val="28"/>
          <w:szCs w:val="28"/>
        </w:rPr>
        <w:t>环保</w:t>
      </w:r>
      <w:r>
        <w:rPr>
          <w:rFonts w:ascii="Helvetica" w:hAnsi="Helvetica" w:eastAsia="宋体" w:cs="宋体"/>
          <w:color w:val="000000"/>
          <w:kern w:val="0"/>
          <w:sz w:val="28"/>
          <w:szCs w:val="28"/>
        </w:rPr>
        <w:t>人员,并制定若</w:t>
      </w:r>
      <w:r>
        <w:rPr>
          <w:rFonts w:hint="eastAsia" w:ascii="Helvetica" w:hAnsi="Helvetica" w:eastAsia="宋体" w:cs="宋体"/>
          <w:color w:val="000000"/>
          <w:kern w:val="0"/>
          <w:sz w:val="28"/>
          <w:szCs w:val="28"/>
        </w:rPr>
        <w:t>干</w:t>
      </w:r>
      <w:r>
        <w:rPr>
          <w:rFonts w:ascii="Helvetica" w:hAnsi="Helvetica" w:eastAsia="宋体" w:cs="宋体"/>
          <w:color w:val="000000"/>
          <w:kern w:val="0"/>
          <w:sz w:val="28"/>
          <w:szCs w:val="28"/>
        </w:rPr>
        <w:t>名</w:t>
      </w:r>
      <w:r>
        <w:rPr>
          <w:rFonts w:hint="eastAsia" w:ascii="Helvetica" w:hAnsi="Helvetica" w:eastAsia="宋体" w:cs="宋体"/>
          <w:color w:val="000000"/>
          <w:kern w:val="0"/>
          <w:sz w:val="28"/>
          <w:szCs w:val="28"/>
        </w:rPr>
        <w:t>兼</w:t>
      </w:r>
      <w:r>
        <w:rPr>
          <w:rFonts w:ascii="Helvetica" w:hAnsi="Helvetica" w:eastAsia="宋体" w:cs="宋体"/>
          <w:color w:val="000000"/>
          <w:kern w:val="0"/>
          <w:sz w:val="28"/>
          <w:szCs w:val="28"/>
        </w:rPr>
        <w:t>职环保员,协助领导工作。环保机构只能加强,不能削弱。</w:t>
      </w:r>
    </w:p>
    <w:p>
      <w:pPr>
        <w:numPr>
          <w:ilvl w:val="0"/>
          <w:numId w:val="2"/>
        </w:numPr>
        <w:rPr>
          <w:rFonts w:hint="eastAsia"/>
          <w:b/>
          <w:bCs/>
          <w:sz w:val="28"/>
          <w:szCs w:val="36"/>
          <w:lang w:val="en-US" w:eastAsia="zh-CN"/>
        </w:rPr>
      </w:pPr>
      <w:r>
        <w:rPr>
          <w:rFonts w:hint="eastAsia"/>
          <w:b/>
          <w:bCs/>
          <w:sz w:val="28"/>
          <w:szCs w:val="36"/>
          <w:lang w:val="en-US" w:eastAsia="zh-CN"/>
        </w:rPr>
        <w:t>环保目标</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保护环境人人有责。企业员工、领导都要认真、自觉学习遵守环境保护法律法规及有关规定,正确看待和处理生产与保护环境之间的关系,坚持预防为主、防治结合的方针,提倡车间清洁生产、循环利用从源头上尽量消灭污染物,并认真执行“谁污染、谁治理”的原则。</w:t>
      </w:r>
    </w:p>
    <w:p>
      <w:pPr>
        <w:numPr>
          <w:ilvl w:val="0"/>
          <w:numId w:val="0"/>
        </w:numPr>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（1）污染物达标排放情况，重点污染物监测</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1、按照“雨污分流,分类收集处理”的原则,设计建设全厂排水系统,雨水排入园区雨水管网,生产废水、生活污水经污水管网收集后排入厂区污水处厂处理达标后</w:t>
      </w:r>
      <w:r>
        <w:rPr>
          <w:rFonts w:hint="eastAsia" w:ascii="宋体" w:hAnsi="宋体" w:cs="仿宋"/>
          <w:color w:val="000000"/>
          <w:sz w:val="28"/>
          <w:szCs w:val="28"/>
          <w:lang w:eastAsia="zh-CN"/>
        </w:rPr>
        <w:t>由一个排污口（编号：</w:t>
      </w:r>
      <w:r>
        <w:rPr>
          <w:rFonts w:hint="eastAsia" w:ascii="宋体" w:hAnsi="宋体"/>
          <w:sz w:val="24"/>
          <w:szCs w:val="28"/>
        </w:rPr>
        <w:t>WS-00014</w:t>
      </w:r>
      <w:r>
        <w:rPr>
          <w:rFonts w:hint="eastAsia" w:ascii="宋体" w:hAnsi="宋体" w:cs="仿宋"/>
          <w:color w:val="000000"/>
          <w:sz w:val="28"/>
          <w:szCs w:val="28"/>
          <w:lang w:eastAsia="zh-CN"/>
        </w:rPr>
        <w:t>）</w:t>
      </w:r>
      <w:r>
        <w:rPr>
          <w:rFonts w:hint="eastAsia" w:ascii="宋体" w:hAnsi="宋体" w:cs="仿宋"/>
          <w:color w:val="000000"/>
          <w:sz w:val="28"/>
          <w:szCs w:val="28"/>
        </w:rPr>
        <w:t>排入黄麓镇污水处理厂,污水排放执行《污水综合排放标准》(GB8978-1996)中一级标准,安装在线监测。</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2、本公司使用天然气锅炉，废气排放符合《锅炉大气污染物排放标准》(GB13271-2001)中二类区Ⅱ时段标准。</w:t>
      </w:r>
    </w:p>
    <w:p>
      <w:pPr>
        <w:spacing w:line="560" w:lineRule="exact"/>
        <w:ind w:firstLine="560" w:firstLineChars="200"/>
        <w:rPr>
          <w:rFonts w:hint="eastAsia" w:ascii="宋体" w:hAnsi="宋体" w:cs="仿宋"/>
          <w:color w:val="0000FF"/>
          <w:sz w:val="28"/>
          <w:szCs w:val="28"/>
        </w:rPr>
      </w:pPr>
      <w:r>
        <w:rPr>
          <w:rFonts w:hint="eastAsia" w:ascii="宋体" w:hAnsi="宋体" w:cs="仿宋"/>
          <w:color w:val="000000"/>
          <w:sz w:val="28"/>
          <w:szCs w:val="28"/>
        </w:rPr>
        <w:t>3、选用低噪声设备,优化设计,合理布局高噪声生产设备,采取有效的减振、隔声等降噪措施,确保厂界噪声满足《工厂企业厂界噪声排放标准》(GB12348-2008)2类标准。</w:t>
      </w:r>
    </w:p>
    <w:p>
      <w:pPr>
        <w:spacing w:line="56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4、雨水排入园区雨水管道网，生产生活废水收集后排入厂区污水处理站，处理达标后由一个排放口排放至黄麓镇污水处理厂。</w:t>
      </w:r>
    </w:p>
    <w:p>
      <w:pPr>
        <w:spacing w:line="560" w:lineRule="exact"/>
        <w:ind w:firstLine="560" w:firstLineChars="200"/>
        <w:rPr>
          <w:rFonts w:hint="eastAsia" w:ascii="宋体" w:hAnsi="宋体" w:cs="仿宋"/>
          <w:color w:val="000000"/>
          <w:sz w:val="28"/>
          <w:szCs w:val="28"/>
        </w:rPr>
      </w:pPr>
      <w:r>
        <w:rPr>
          <w:rFonts w:hint="eastAsia" w:ascii="宋体" w:hAnsi="宋体" w:cs="仿宋"/>
          <w:color w:val="000000"/>
          <w:sz w:val="28"/>
          <w:szCs w:val="28"/>
        </w:rPr>
        <w:t>为履行企业自行监测的职责拟采取的污染物（废水）自行监测手段及开展方式：与安徽省碧水电子技术有限公司签订合同，由其负责（COD）自动检测设备、PH计分析仪的安装，维护和运营情况。自动检测设备已与环保主管部门联网并且已验收。手动检测方面由本公司参建的水生动物防疫站检测，检测的项目有氨氮、总磷。</w:t>
      </w:r>
    </w:p>
    <w:p>
      <w:pPr>
        <w:numPr>
          <w:ilvl w:val="0"/>
          <w:numId w:val="3"/>
        </w:numPr>
        <w:spacing w:line="560" w:lineRule="exact"/>
        <w:ind w:firstLine="560" w:firstLineChars="200"/>
        <w:rPr>
          <w:rFonts w:hint="default" w:ascii="宋体" w:hAnsi="宋体" w:cs="仿宋"/>
          <w:color w:val="000000"/>
          <w:sz w:val="28"/>
          <w:szCs w:val="28"/>
          <w:lang w:val="en-US" w:eastAsia="zh-CN"/>
        </w:rPr>
      </w:pPr>
      <w:r>
        <w:rPr>
          <w:rFonts w:hint="eastAsia" w:ascii="宋体" w:hAnsi="宋体" w:cs="仿宋"/>
          <w:color w:val="000000"/>
          <w:sz w:val="28"/>
          <w:szCs w:val="28"/>
          <w:lang w:eastAsia="zh-CN"/>
        </w:rPr>
        <w:t>固体废物处置情况</w:t>
      </w:r>
    </w:p>
    <w:tbl>
      <w:tblPr>
        <w:tblStyle w:val="5"/>
        <w:tblpPr w:leftFromText="180" w:rightFromText="180" w:vertAnchor="text" w:horzAnchor="page" w:tblpX="1667" w:tblpY="392"/>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696"/>
        <w:gridCol w:w="1417"/>
        <w:gridCol w:w="1842"/>
        <w:gridCol w:w="1418"/>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tcBorders>
              <w:top w:val="double" w:color="auto" w:sz="4" w:space="0"/>
              <w:left w:val="dotted"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项目</w:t>
            </w:r>
          </w:p>
        </w:tc>
        <w:tc>
          <w:tcPr>
            <w:tcW w:w="696"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类型</w:t>
            </w:r>
          </w:p>
        </w:tc>
        <w:tc>
          <w:tcPr>
            <w:tcW w:w="1417"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产生数量（t）</w:t>
            </w:r>
          </w:p>
        </w:tc>
        <w:tc>
          <w:tcPr>
            <w:tcW w:w="1842"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处置方式</w:t>
            </w:r>
          </w:p>
        </w:tc>
        <w:tc>
          <w:tcPr>
            <w:tcW w:w="1418" w:type="dxa"/>
            <w:tcBorders>
              <w:top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处置数量(t)</w:t>
            </w:r>
          </w:p>
        </w:tc>
        <w:tc>
          <w:tcPr>
            <w:tcW w:w="2727" w:type="dxa"/>
            <w:tcBorders>
              <w:top w:val="double" w:color="auto" w:sz="4" w:space="0"/>
              <w:right w:val="dotted"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140" w:type="dxa"/>
            <w:tcBorders>
              <w:left w:val="dotted" w:color="auto" w:sz="4" w:space="0"/>
            </w:tcBorders>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生活垃圾</w:t>
            </w:r>
          </w:p>
        </w:tc>
        <w:tc>
          <w:tcPr>
            <w:tcW w:w="696" w:type="dxa"/>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固体</w:t>
            </w:r>
          </w:p>
        </w:tc>
        <w:tc>
          <w:tcPr>
            <w:tcW w:w="1417" w:type="dxa"/>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1842" w:type="dxa"/>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第三方回收</w:t>
            </w:r>
          </w:p>
        </w:tc>
        <w:tc>
          <w:tcPr>
            <w:tcW w:w="1418" w:type="dxa"/>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21</w:t>
            </w:r>
          </w:p>
        </w:tc>
        <w:tc>
          <w:tcPr>
            <w:tcW w:w="2727" w:type="dxa"/>
            <w:tcBorders>
              <w:right w:val="dotted" w:color="auto" w:sz="4" w:space="0"/>
            </w:tcBorders>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rPr>
              <w:t>合肥</w:t>
            </w:r>
            <w:r>
              <w:rPr>
                <w:rFonts w:hint="eastAsia" w:ascii="仿宋" w:hAnsi="仿宋" w:eastAsia="仿宋" w:cs="仿宋"/>
                <w:kern w:val="0"/>
                <w:szCs w:val="21"/>
                <w:lang w:eastAsia="zh-CN"/>
              </w:rPr>
              <w:t>华兴物业管理有限公司巢湖分公司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40" w:type="dxa"/>
            <w:tcBorders>
              <w:left w:val="dotted" w:color="auto" w:sz="4" w:space="0"/>
              <w:bottom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lang w:eastAsia="zh-CN"/>
              </w:rPr>
              <w:t>废油脂</w:t>
            </w:r>
          </w:p>
        </w:tc>
        <w:tc>
          <w:tcPr>
            <w:tcW w:w="696" w:type="dxa"/>
            <w:tcBorders>
              <w:bottom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lang w:eastAsia="zh-CN"/>
              </w:rPr>
              <w:t>固体</w:t>
            </w:r>
          </w:p>
        </w:tc>
        <w:tc>
          <w:tcPr>
            <w:tcW w:w="1417" w:type="dxa"/>
            <w:tcBorders>
              <w:bottom w:val="double" w:color="auto" w:sz="4" w:space="0"/>
            </w:tcBorders>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842" w:type="dxa"/>
            <w:tcBorders>
              <w:bottom w:val="double" w:color="auto" w:sz="4" w:space="0"/>
            </w:tcBorders>
            <w:noWrap w:val="0"/>
            <w:vAlign w:val="center"/>
          </w:tcPr>
          <w:p>
            <w:pPr>
              <w:spacing w:line="240" w:lineRule="auto"/>
              <w:jc w:val="center"/>
              <w:rPr>
                <w:rFonts w:hint="eastAsia" w:ascii="仿宋" w:hAnsi="仿宋" w:eastAsia="仿宋" w:cs="仿宋"/>
                <w:kern w:val="0"/>
                <w:szCs w:val="21"/>
              </w:rPr>
            </w:pPr>
            <w:r>
              <w:rPr>
                <w:rFonts w:hint="eastAsia" w:ascii="仿宋" w:hAnsi="仿宋" w:eastAsia="仿宋" w:cs="仿宋"/>
                <w:kern w:val="0"/>
                <w:szCs w:val="21"/>
                <w:lang w:eastAsia="zh-CN"/>
              </w:rPr>
              <w:t>第三方回收</w:t>
            </w:r>
          </w:p>
        </w:tc>
        <w:tc>
          <w:tcPr>
            <w:tcW w:w="1418" w:type="dxa"/>
            <w:tcBorders>
              <w:bottom w:val="double" w:color="auto" w:sz="4" w:space="0"/>
            </w:tcBorders>
            <w:noWrap w:val="0"/>
            <w:vAlign w:val="center"/>
          </w:tcPr>
          <w:p>
            <w:pPr>
              <w:spacing w:line="240" w:lineRule="auto"/>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2727" w:type="dxa"/>
            <w:tcBorders>
              <w:bottom w:val="double" w:color="auto" w:sz="4" w:space="0"/>
              <w:right w:val="dotted" w:color="auto" w:sz="4" w:space="0"/>
            </w:tcBorders>
            <w:noWrap w:val="0"/>
            <w:vAlign w:val="center"/>
          </w:tcPr>
          <w:p>
            <w:pPr>
              <w:spacing w:line="240" w:lineRule="auto"/>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巢湖市华城环保服务中心</w:t>
            </w:r>
          </w:p>
        </w:tc>
      </w:tr>
    </w:tbl>
    <w:p>
      <w:pPr>
        <w:numPr>
          <w:ilvl w:val="0"/>
          <w:numId w:val="0"/>
        </w:numPr>
        <w:spacing w:line="560" w:lineRule="exact"/>
        <w:rPr>
          <w:rFonts w:hint="default" w:ascii="宋体" w:hAnsi="宋体" w:cs="仿宋"/>
          <w:color w:val="000000"/>
          <w:sz w:val="28"/>
          <w:szCs w:val="28"/>
          <w:lang w:val="en-US" w:eastAsia="zh-CN"/>
        </w:rPr>
      </w:pPr>
      <w:r>
        <w:rPr>
          <w:rFonts w:hint="eastAsia" w:ascii="宋体" w:hAnsi="宋体" w:cs="仿宋"/>
          <w:color w:val="000000"/>
          <w:sz w:val="28"/>
          <w:szCs w:val="28"/>
          <w:lang w:val="en-US" w:eastAsia="zh-CN"/>
        </w:rPr>
        <w:t xml:space="preserve">   </w:t>
      </w:r>
    </w:p>
    <w:p>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降低环境负荷的措施及绩效</w:t>
      </w:r>
    </w:p>
    <w:p>
      <w:pPr>
        <w:ind w:firstLine="548" w:firstLineChars="196"/>
        <w:rPr>
          <w:rFonts w:hint="eastAsia" w:ascii="Helvetica" w:hAnsi="Helvetica" w:eastAsia="宋体" w:cs="宋体"/>
          <w:color w:val="000000"/>
          <w:kern w:val="0"/>
          <w:sz w:val="28"/>
          <w:szCs w:val="28"/>
          <w:lang w:eastAsia="zh-CN"/>
        </w:rPr>
      </w:pPr>
      <w:r>
        <w:rPr>
          <w:rFonts w:ascii="Helvetica" w:hAnsi="Helvetica" w:eastAsia="宋体" w:cs="宋体"/>
          <w:color w:val="000000"/>
          <w:kern w:val="0"/>
          <w:sz w:val="28"/>
          <w:szCs w:val="28"/>
        </w:rPr>
        <w:t>环保工作作为评定内容之一</w:t>
      </w:r>
      <w:r>
        <w:rPr>
          <w:rFonts w:hint="eastAsia" w:ascii="Helvetica" w:hAnsi="Helvetica" w:eastAsia="宋体" w:cs="宋体"/>
          <w:color w:val="000000"/>
          <w:kern w:val="0"/>
          <w:sz w:val="28"/>
          <w:szCs w:val="28"/>
          <w:lang w:eastAsia="zh-CN"/>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环保人员要重视防治“三废”污染,保护环境。要把环境保护工作作为生产管理的一个重要组成部分,纳入到日常生产中去,实行生产环保一齐抓。</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环境保护工作关系到周边环境和每个职工的身体健康及企业生产发展,企业员工必须严格执行环境保护工作制度,任何违反环保工作制度,造成事故者,必根据事故程度追究责任</w:t>
      </w:r>
      <w:r>
        <w:rPr>
          <w:rFonts w:hint="eastAsia" w:ascii="Helvetica" w:hAnsi="Helvetica" w:eastAsia="宋体" w:cs="宋体"/>
          <w:color w:val="000000"/>
          <w:kern w:val="0"/>
          <w:sz w:val="28"/>
          <w:szCs w:val="28"/>
        </w:rPr>
        <w:t>。</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防止“三废”污染,实行“谁污染,谁治理”的原则, 所有造成环境污染和其它公害的车间都必须提出治理规划,有计划有步骤地加以实施,企业在财力、物力、人力方面应及时给予安排解决。</w:t>
      </w:r>
    </w:p>
    <w:p>
      <w:pPr>
        <w:ind w:firstLine="548" w:firstLineChars="196"/>
        <w:rPr>
          <w:rFonts w:ascii="Helvetica" w:hAnsi="Helvetica" w:eastAsia="宋体" w:cs="宋体"/>
          <w:color w:val="000000"/>
          <w:kern w:val="0"/>
          <w:sz w:val="28"/>
          <w:szCs w:val="28"/>
        </w:rPr>
      </w:pPr>
      <w:r>
        <w:rPr>
          <w:rFonts w:ascii="Helvetica" w:hAnsi="Helvetica" w:eastAsia="宋体" w:cs="宋体"/>
          <w:color w:val="000000"/>
          <w:kern w:val="0"/>
          <w:sz w:val="28"/>
          <w:szCs w:val="28"/>
        </w:rPr>
        <w:t>对环保设施、设备等要认真管理建立定期检查、维修和维修后验收制度保证设备、设施完好,运转率达到考核指标要求,并确保备品备药的正常储备量</w:t>
      </w:r>
      <w:r>
        <w:rPr>
          <w:rFonts w:hint="eastAsia" w:ascii="Helvetica" w:hAnsi="Helvetica" w:eastAsia="宋体" w:cs="宋体"/>
          <w:color w:val="000000"/>
          <w:kern w:val="0"/>
          <w:sz w:val="28"/>
          <w:szCs w:val="28"/>
        </w:rPr>
        <w:t>。</w:t>
      </w:r>
    </w:p>
    <w:p>
      <w:pPr>
        <w:widowControl w:val="0"/>
        <w:numPr>
          <w:ilvl w:val="0"/>
          <w:numId w:val="0"/>
        </w:numPr>
        <w:ind w:firstLine="560" w:firstLineChars="200"/>
        <w:jc w:val="both"/>
        <w:rPr>
          <w:rFonts w:hint="default"/>
          <w:b/>
          <w:bCs/>
          <w:sz w:val="28"/>
          <w:szCs w:val="36"/>
          <w:lang w:val="en-US" w:eastAsia="zh-CN"/>
        </w:rPr>
      </w:pPr>
      <w:r>
        <w:rPr>
          <w:rFonts w:ascii="Helvetica" w:hAnsi="Helvetica" w:eastAsia="宋体" w:cs="宋体"/>
          <w:color w:val="000000"/>
          <w:kern w:val="0"/>
          <w:sz w:val="28"/>
          <w:szCs w:val="28"/>
        </w:rPr>
        <w:t>凡新建、扩建、改造项目中的“三废”治理和综合利用工作所需资金、设备材料,必须同时列入计划,切实予以保证,在施工过程中不得以任何理由为借口排挤“三废”治理和综合利用工程的资金、设备、材料和人力等。</w:t>
      </w:r>
    </w:p>
    <w:p>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与社会及利益相关者关系</w:t>
      </w:r>
    </w:p>
    <w:p>
      <w:pPr>
        <w:widowControl w:val="0"/>
        <w:numPr>
          <w:ilvl w:val="0"/>
          <w:numId w:val="4"/>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与消费者的关系</w:t>
      </w:r>
    </w:p>
    <w:p>
      <w:pPr>
        <w:widowControl w:val="0"/>
        <w:numPr>
          <w:ilvl w:val="0"/>
          <w:numId w:val="0"/>
        </w:numPr>
        <w:ind w:firstLine="56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为消费者提供质量安全可靠、营养价值高的多种水产制品。</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2.与员工的关系</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公司为员工提供良好的工作生活环境，注重加强员工的技能培训教育。公司员工的稳定为公司安全环保生产提供了坚实的基础。</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3.与公众的关系</w:t>
      </w:r>
    </w:p>
    <w:p>
      <w:pPr>
        <w:spacing w:line="460" w:lineRule="exact"/>
        <w:ind w:firstLine="560" w:firstLineChars="200"/>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公司环境信息及时向社会公众进行披露并上传环保局网站。多年来，公司凭借市场、品牌、科技、规模等优势先后获得“农业产业化国家重点龙头企业”、“国家高新技术企业”、“农业部全国农产品加工企业技术创新机构”、“农业部水产健康养殖示范场”、“国家级斑点叉尾鮰良种场”、“国家级无公害水产品标准化示范区”、“全国休闲渔业示范基地”、“全国现代渔业种业示范场”、“安徽省农业产业化龙头企业‘甲级队’”、牵头成立的“安徽富煌三珍现代农业（渔业）产业化联合体”为省级示范现代农业产业化联合体、“安徽省十大农产品出口示范基地”、“安徽省渔业产业化龙头企业排头兵”、“安徽省无公害水产品安全追溯试点企业”、2015-2016年度安徽省“守合同重信用企业”、“安徽省诚信示范企业”、“合肥市2014-2016年度先进单位”、“合肥市小微企业创业示范基地”、巢湖市“2018年度‘百企帮百村’精准扶贫先进单位”、“安全标准化三级企业”，安徽省食品行业协会授予的“食品安全诚信宣誓单位”、“安徽省食品行业最具成长性企业”。为“中国渔业协会副会长单位”、“中国水产流通与加工协会副会长单位”、“中国水产流通与加工协会鲶鱼产业分会会长单位”、“中国水产流通与加工协会内陆天然水域产销分会常务理事单位”、“安徽省渔业协会副会长单位”、“安徽省食品行业协会副会长单位”、“安徽省餐饮行业协会副会长单位”、“合肥市农产品质量安全可追溯产业技术创新战略联盟成员单位”，为推动我国渔业发展发挥了积极作用。</w:t>
      </w:r>
    </w:p>
    <w:p>
      <w:pPr>
        <w:spacing w:line="460" w:lineRule="exact"/>
        <w:ind w:firstLine="560" w:firstLineChars="200"/>
        <w:rPr>
          <w:rFonts w:hint="default"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“十三五”期间，公司紧密围绕产业升级、市场转型、技术创新和品牌建设四大抓手，全面强化产业链建设，为农业供给侧结构性改革、乡村振兴、脱贫攻坚战做出更大的贡献。</w:t>
      </w:r>
    </w:p>
    <w:p>
      <w:pPr>
        <w:numPr>
          <w:ilvl w:val="0"/>
          <w:numId w:val="0"/>
        </w:numPr>
        <w:rPr>
          <w:rFonts w:hint="default"/>
          <w:b/>
          <w:bCs/>
          <w:sz w:val="28"/>
          <w:szCs w:val="36"/>
          <w:lang w:val="en-US" w:eastAsia="zh-CN"/>
        </w:rPr>
      </w:pPr>
      <w:r>
        <w:rPr>
          <w:rFonts w:hint="eastAsia"/>
          <w:b/>
          <w:bCs/>
          <w:sz w:val="28"/>
          <w:szCs w:val="36"/>
          <w:lang w:val="en-US" w:eastAsia="zh-CN"/>
        </w:rPr>
        <w:t>七、总结</w:t>
      </w:r>
    </w:p>
    <w:p>
      <w:pPr>
        <w:widowControl w:val="0"/>
        <w:numPr>
          <w:ilvl w:val="0"/>
          <w:numId w:val="0"/>
        </w:numPr>
        <w:ind w:firstLine="560" w:firstLineChars="200"/>
        <w:jc w:val="both"/>
        <w:rPr>
          <w:rFonts w:hint="eastAsia" w:ascii="Helvetica" w:hAnsi="Helvetica" w:eastAsia="宋体" w:cs="宋体"/>
          <w:color w:val="000000"/>
          <w:kern w:val="0"/>
          <w:sz w:val="28"/>
          <w:szCs w:val="28"/>
          <w:lang w:val="en-US" w:eastAsia="zh-CN"/>
        </w:rPr>
      </w:pPr>
      <w:r>
        <w:rPr>
          <w:rFonts w:hint="eastAsia" w:ascii="Helvetica" w:hAnsi="Helvetica" w:eastAsia="宋体" w:cs="宋体"/>
          <w:color w:val="000000"/>
          <w:kern w:val="0"/>
          <w:sz w:val="28"/>
          <w:szCs w:val="28"/>
          <w:lang w:val="en-US" w:eastAsia="zh-CN"/>
        </w:rPr>
        <w:t>本报告参照国家环保部，《企业环境报告书编制到则》进行编制，公司从建设起未发生重大环境违法时间。公司在领导带领下，继续完善环保规章制度，加强环境保护管理，确保各项污染物、达标排放，积极履行环保社会责任。为推动我国水产品加工业的发展发挥了积极作用。</w:t>
      </w:r>
    </w:p>
    <w:p>
      <w:pPr>
        <w:widowControl w:val="0"/>
        <w:numPr>
          <w:ilvl w:val="0"/>
          <w:numId w:val="0"/>
        </w:numPr>
        <w:ind w:firstLine="560" w:firstLineChars="200"/>
        <w:jc w:val="both"/>
        <w:rPr>
          <w:rFonts w:hint="default" w:ascii="Helvetica" w:hAnsi="Helvetica" w:eastAsia="宋体" w:cs="宋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6FB18"/>
    <w:multiLevelType w:val="singleLevel"/>
    <w:tmpl w:val="84A6FB18"/>
    <w:lvl w:ilvl="0" w:tentative="0">
      <w:start w:val="2"/>
      <w:numFmt w:val="decimal"/>
      <w:suff w:val="nothing"/>
      <w:lvlText w:val="（%1）"/>
      <w:lvlJc w:val="left"/>
    </w:lvl>
  </w:abstractNum>
  <w:abstractNum w:abstractNumId="1">
    <w:nsid w:val="BB3242FE"/>
    <w:multiLevelType w:val="singleLevel"/>
    <w:tmpl w:val="BB3242FE"/>
    <w:lvl w:ilvl="0" w:tentative="0">
      <w:start w:val="4"/>
      <w:numFmt w:val="chineseCounting"/>
      <w:suff w:val="nothing"/>
      <w:lvlText w:val="%1、"/>
      <w:lvlJc w:val="left"/>
      <w:rPr>
        <w:rFonts w:hint="eastAsia"/>
      </w:rPr>
    </w:lvl>
  </w:abstractNum>
  <w:abstractNum w:abstractNumId="2">
    <w:nsid w:val="499D3930"/>
    <w:multiLevelType w:val="singleLevel"/>
    <w:tmpl w:val="499D3930"/>
    <w:lvl w:ilvl="0" w:tentative="0">
      <w:start w:val="1"/>
      <w:numFmt w:val="decimal"/>
      <w:lvlText w:val="%1."/>
      <w:lvlJc w:val="left"/>
      <w:pPr>
        <w:tabs>
          <w:tab w:val="left" w:pos="312"/>
        </w:tabs>
      </w:pPr>
    </w:lvl>
  </w:abstractNum>
  <w:abstractNum w:abstractNumId="3">
    <w:nsid w:val="6895E7BA"/>
    <w:multiLevelType w:val="singleLevel"/>
    <w:tmpl w:val="6895E7BA"/>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2E70"/>
    <w:rsid w:val="0AB31BE9"/>
    <w:rsid w:val="3BCD322E"/>
    <w:rsid w:val="3E012EDF"/>
    <w:rsid w:val="669C76AC"/>
    <w:rsid w:val="7438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jc w:val="center"/>
      <w:outlineLvl w:val="0"/>
    </w:pPr>
    <w:rPr>
      <w:b/>
      <w:bCs/>
      <w:kern w:val="44"/>
      <w:sz w:val="30"/>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ind w:left="120" w:right="262"/>
      <w:jc w:val="left"/>
    </w:pPr>
    <w:rPr>
      <w:rFonts w:ascii="宋体" w:hAnsi="宋体" w:cs="宋体"/>
      <w:kern w:val="0"/>
      <w:sz w:val="24"/>
      <w:szCs w:val="24"/>
      <w:lang w:val="zh-CN" w:bidi="zh-CN"/>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2019-08-02T02:06:00Z</dcterms:created>
  <dc:creator>Administrator</dc:creator>
  <cp:lastModifiedBy>Administrator</cp:lastModifiedBy>
  <dcterms:modified xsi:type="dcterms:W3CDTF">2021-05-05T00:27:45Z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E580928A44B04A01AB6F87E74DBD721B</vt:lpwstr>
  </property>
</Properties>
</file>